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1F0" w:rsidRPr="00561231" w:rsidRDefault="008711F0" w:rsidP="008711F0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1231">
        <w:rPr>
          <w:color w:val="000000" w:themeColor="text1"/>
          <w:sz w:val="28"/>
          <w:szCs w:val="28"/>
        </w:rPr>
        <w:t>АО «Янтарьэнерго»</w:t>
      </w:r>
    </w:p>
    <w:p w:rsidR="008711F0" w:rsidRPr="00561231" w:rsidRDefault="008711F0" w:rsidP="008711F0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Pr="00561231" w:rsidRDefault="008711F0" w:rsidP="008711F0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Pr="00561231" w:rsidRDefault="008711F0" w:rsidP="008711F0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Pr="00561231" w:rsidRDefault="008711F0" w:rsidP="008711F0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Pr="00561231" w:rsidRDefault="008711F0" w:rsidP="008711F0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Pr="00561231" w:rsidRDefault="008711F0" w:rsidP="008711F0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ПАСПОРТ</w:t>
      </w:r>
    </w:p>
    <w:p w:rsidR="008711F0" w:rsidRPr="00561231" w:rsidRDefault="008711F0" w:rsidP="008711F0">
      <w:pPr>
        <w:jc w:val="center"/>
        <w:rPr>
          <w:color w:val="000000" w:themeColor="text1"/>
          <w:sz w:val="28"/>
          <w:szCs w:val="28"/>
        </w:rPr>
      </w:pPr>
      <w:r w:rsidRPr="00561231">
        <w:rPr>
          <w:color w:val="000000" w:themeColor="text1"/>
          <w:sz w:val="28"/>
          <w:szCs w:val="28"/>
        </w:rPr>
        <w:t>инвестиционного проекта</w:t>
      </w:r>
    </w:p>
    <w:p w:rsidR="008711F0" w:rsidRPr="00561231" w:rsidRDefault="008711F0" w:rsidP="008711F0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  <w:r w:rsidRPr="00561231">
        <w:rPr>
          <w:color w:val="000000" w:themeColor="text1"/>
          <w:sz w:val="32"/>
          <w:szCs w:val="32"/>
          <w:u w:val="single"/>
        </w:rPr>
        <w:t>«Реконструкция ПС 110/15/10 кВ О-27 "Муромская"»</w:t>
      </w:r>
    </w:p>
    <w:p w:rsidR="00FA1A7D" w:rsidRDefault="00FA1A7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711F0" w:rsidRPr="006967A8" w:rsidRDefault="008711F0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BF5B29" w:rsidRPr="006967A8" w:rsidRDefault="00BF5B29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id w:val="148477977"/>
        <w:docPartObj>
          <w:docPartGallery w:val="Table of Contents"/>
          <w:docPartUnique/>
        </w:docPartObj>
      </w:sdtPr>
      <w:sdtEndPr/>
      <w:sdtContent>
        <w:p w:rsidR="003E7B52" w:rsidRPr="006967A8" w:rsidRDefault="00AE50CE" w:rsidP="008711F0">
          <w:pPr>
            <w:pStyle w:val="a5"/>
            <w:tabs>
              <w:tab w:val="left" w:pos="3828"/>
            </w:tabs>
            <w:rPr>
              <w:rFonts w:ascii="Times New Roman" w:hAnsi="Times New Roman" w:cs="Times New Roman"/>
              <w:color w:val="000000" w:themeColor="text1"/>
            </w:rPr>
          </w:pPr>
          <w:r w:rsidRPr="006967A8">
            <w:rPr>
              <w:rFonts w:ascii="Times New Roman" w:hAnsi="Times New Roman" w:cs="Times New Roman"/>
              <w:color w:val="000000" w:themeColor="text1"/>
            </w:rPr>
            <w:t>Оглавление</w:t>
          </w:r>
          <w:r w:rsidR="008711F0">
            <w:rPr>
              <w:rFonts w:ascii="Times New Roman" w:hAnsi="Times New Roman" w:cs="Times New Roman"/>
              <w:color w:val="000000" w:themeColor="text1"/>
            </w:rPr>
            <w:tab/>
          </w:r>
        </w:p>
        <w:p w:rsidR="003E7B52" w:rsidRPr="006967A8" w:rsidRDefault="003E7B52" w:rsidP="003E7B52">
          <w:pPr>
            <w:rPr>
              <w:color w:val="000000" w:themeColor="text1"/>
              <w:lang w:eastAsia="en-US"/>
            </w:rPr>
          </w:pPr>
        </w:p>
        <w:p w:rsidR="00E560B6" w:rsidRPr="006967A8" w:rsidRDefault="00FB6944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r w:rsidRPr="006967A8">
            <w:rPr>
              <w:color w:val="000000" w:themeColor="text1"/>
            </w:rPr>
            <w:fldChar w:fldCharType="begin"/>
          </w:r>
          <w:r w:rsidR="003E7B52" w:rsidRPr="006967A8">
            <w:rPr>
              <w:color w:val="000000" w:themeColor="text1"/>
            </w:rPr>
            <w:instrText xml:space="preserve"> TOC \o "1-3" \h \z \u </w:instrText>
          </w:r>
          <w:r w:rsidRPr="006967A8">
            <w:rPr>
              <w:color w:val="000000" w:themeColor="text1"/>
            </w:rPr>
            <w:fldChar w:fldCharType="separate"/>
          </w:r>
          <w:hyperlink w:anchor="_Toc309840739" w:history="1"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  <w:lang w:val="en-US"/>
              </w:rPr>
              <w:t>1.</w:t>
            </w:r>
            <w:r w:rsidR="00E560B6" w:rsidRPr="006967A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Общая информация о проекте</w:t>
            </w:r>
            <w:r w:rsidR="00E560B6" w:rsidRPr="006967A8">
              <w:rPr>
                <w:noProof/>
                <w:webHidden/>
                <w:color w:val="000000" w:themeColor="text1"/>
              </w:rPr>
              <w:tab/>
            </w:r>
            <w:r w:rsidRPr="006967A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6967A8">
              <w:rPr>
                <w:noProof/>
                <w:webHidden/>
                <w:color w:val="000000" w:themeColor="text1"/>
              </w:rPr>
              <w:instrText xml:space="preserve"> PAGEREF _Toc309840739 \h </w:instrText>
            </w:r>
            <w:r w:rsidRPr="006967A8">
              <w:rPr>
                <w:noProof/>
                <w:webHidden/>
                <w:color w:val="000000" w:themeColor="text1"/>
              </w:rPr>
            </w:r>
            <w:r w:rsidRPr="006967A8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6967A8">
              <w:rPr>
                <w:noProof/>
                <w:webHidden/>
                <w:color w:val="000000" w:themeColor="text1"/>
              </w:rPr>
              <w:t>3</w:t>
            </w:r>
            <w:r w:rsidRPr="006967A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6967A8" w:rsidRDefault="008711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0" w:history="1"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2.</w:t>
            </w:r>
            <w:r w:rsidR="00E560B6" w:rsidRPr="006967A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Юридический статус объекта инвестиций</w:t>
            </w:r>
            <w:r w:rsidR="00E560B6" w:rsidRPr="006967A8">
              <w:rPr>
                <w:noProof/>
                <w:webHidden/>
                <w:color w:val="000000" w:themeColor="text1"/>
              </w:rPr>
              <w:tab/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6967A8">
              <w:rPr>
                <w:noProof/>
                <w:webHidden/>
                <w:color w:val="000000" w:themeColor="text1"/>
              </w:rPr>
              <w:instrText xml:space="preserve"> PAGEREF _Toc309840740 \h </w:instrText>
            </w:r>
            <w:r w:rsidR="00FB6944" w:rsidRPr="006967A8">
              <w:rPr>
                <w:noProof/>
                <w:webHidden/>
                <w:color w:val="000000" w:themeColor="text1"/>
              </w:rPr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6967A8">
              <w:rPr>
                <w:noProof/>
                <w:webHidden/>
                <w:color w:val="000000" w:themeColor="text1"/>
              </w:rPr>
              <w:t>5</w:t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6967A8" w:rsidRDefault="008711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1" w:history="1"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3.</w:t>
            </w:r>
            <w:r w:rsidR="00E560B6" w:rsidRPr="006967A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Основные технические решения</w:t>
            </w:r>
            <w:r w:rsidR="00E560B6" w:rsidRPr="006967A8">
              <w:rPr>
                <w:noProof/>
                <w:webHidden/>
                <w:color w:val="000000" w:themeColor="text1"/>
              </w:rPr>
              <w:tab/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6967A8">
              <w:rPr>
                <w:noProof/>
                <w:webHidden/>
                <w:color w:val="000000" w:themeColor="text1"/>
              </w:rPr>
              <w:instrText xml:space="preserve"> PAGEREF _Toc309840741 \h </w:instrText>
            </w:r>
            <w:r w:rsidR="00FB6944" w:rsidRPr="006967A8">
              <w:rPr>
                <w:noProof/>
                <w:webHidden/>
                <w:color w:val="000000" w:themeColor="text1"/>
              </w:rPr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6967A8">
              <w:rPr>
                <w:noProof/>
                <w:webHidden/>
                <w:color w:val="000000" w:themeColor="text1"/>
              </w:rPr>
              <w:t>5</w:t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6967A8" w:rsidRDefault="008711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2" w:history="1"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4.</w:t>
            </w:r>
            <w:r w:rsidR="00E560B6" w:rsidRPr="006967A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Инвестиционные затраты</w:t>
            </w:r>
            <w:r w:rsidR="00E560B6" w:rsidRPr="006967A8">
              <w:rPr>
                <w:noProof/>
                <w:webHidden/>
                <w:color w:val="000000" w:themeColor="text1"/>
              </w:rPr>
              <w:tab/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6967A8">
              <w:rPr>
                <w:noProof/>
                <w:webHidden/>
                <w:color w:val="000000" w:themeColor="text1"/>
              </w:rPr>
              <w:instrText xml:space="preserve"> PAGEREF _Toc309840742 \h </w:instrText>
            </w:r>
            <w:r w:rsidR="00FB6944" w:rsidRPr="006967A8">
              <w:rPr>
                <w:noProof/>
                <w:webHidden/>
                <w:color w:val="000000" w:themeColor="text1"/>
              </w:rPr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6967A8">
              <w:rPr>
                <w:noProof/>
                <w:webHidden/>
                <w:color w:val="000000" w:themeColor="text1"/>
              </w:rPr>
              <w:t>9</w:t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6967A8" w:rsidRDefault="008711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3" w:history="1"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5.</w:t>
            </w:r>
            <w:r w:rsidR="00E560B6" w:rsidRPr="006967A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План-график реализации инвестиционного проекта</w:t>
            </w:r>
            <w:r w:rsidR="00E560B6" w:rsidRPr="006967A8">
              <w:rPr>
                <w:noProof/>
                <w:webHidden/>
                <w:color w:val="000000" w:themeColor="text1"/>
              </w:rPr>
              <w:tab/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6967A8">
              <w:rPr>
                <w:noProof/>
                <w:webHidden/>
                <w:color w:val="000000" w:themeColor="text1"/>
              </w:rPr>
              <w:instrText xml:space="preserve"> PAGEREF _Toc309840743 \h </w:instrText>
            </w:r>
            <w:r w:rsidR="00FB6944" w:rsidRPr="006967A8">
              <w:rPr>
                <w:noProof/>
                <w:webHidden/>
                <w:color w:val="000000" w:themeColor="text1"/>
              </w:rPr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6967A8">
              <w:rPr>
                <w:noProof/>
                <w:webHidden/>
                <w:color w:val="000000" w:themeColor="text1"/>
              </w:rPr>
              <w:t>10</w:t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6967A8" w:rsidRDefault="008711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4" w:history="1"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6.</w:t>
            </w:r>
            <w:r w:rsidR="00E560B6" w:rsidRPr="006967A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Маркетинговая информация</w:t>
            </w:r>
            <w:r w:rsidR="00E560B6" w:rsidRPr="006967A8">
              <w:rPr>
                <w:noProof/>
                <w:webHidden/>
                <w:color w:val="000000" w:themeColor="text1"/>
              </w:rPr>
              <w:tab/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6967A8">
              <w:rPr>
                <w:noProof/>
                <w:webHidden/>
                <w:color w:val="000000" w:themeColor="text1"/>
              </w:rPr>
              <w:instrText xml:space="preserve"> PAGEREF _Toc309840744 \h </w:instrText>
            </w:r>
            <w:r w:rsidR="00FB6944" w:rsidRPr="006967A8">
              <w:rPr>
                <w:noProof/>
                <w:webHidden/>
                <w:color w:val="000000" w:themeColor="text1"/>
              </w:rPr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6967A8">
              <w:rPr>
                <w:noProof/>
                <w:webHidden/>
                <w:color w:val="000000" w:themeColor="text1"/>
              </w:rPr>
              <w:t>10</w:t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6967A8" w:rsidRDefault="008711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5" w:history="1"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7.</w:t>
            </w:r>
            <w:r w:rsidR="00E560B6" w:rsidRPr="006967A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Источники финансирования проекта</w:t>
            </w:r>
            <w:r w:rsidR="00E560B6" w:rsidRPr="006967A8">
              <w:rPr>
                <w:noProof/>
                <w:webHidden/>
                <w:color w:val="000000" w:themeColor="text1"/>
              </w:rPr>
              <w:tab/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6967A8">
              <w:rPr>
                <w:noProof/>
                <w:webHidden/>
                <w:color w:val="000000" w:themeColor="text1"/>
              </w:rPr>
              <w:instrText xml:space="preserve"> PAGEREF _Toc309840745 \h </w:instrText>
            </w:r>
            <w:r w:rsidR="00FB6944" w:rsidRPr="006967A8">
              <w:rPr>
                <w:noProof/>
                <w:webHidden/>
                <w:color w:val="000000" w:themeColor="text1"/>
              </w:rPr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6967A8">
              <w:rPr>
                <w:noProof/>
                <w:webHidden/>
                <w:color w:val="000000" w:themeColor="text1"/>
              </w:rPr>
              <w:t>11</w:t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6967A8" w:rsidRDefault="008711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6" w:history="1"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8.</w:t>
            </w:r>
            <w:r w:rsidR="00E560B6" w:rsidRPr="006967A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Показатели операционной деятельности</w:t>
            </w:r>
            <w:r w:rsidR="00E560B6" w:rsidRPr="006967A8">
              <w:rPr>
                <w:noProof/>
                <w:webHidden/>
                <w:color w:val="000000" w:themeColor="text1"/>
              </w:rPr>
              <w:tab/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6967A8">
              <w:rPr>
                <w:noProof/>
                <w:webHidden/>
                <w:color w:val="000000" w:themeColor="text1"/>
              </w:rPr>
              <w:instrText xml:space="preserve"> PAGEREF _Toc309840746 \h </w:instrText>
            </w:r>
            <w:r w:rsidR="00FB6944" w:rsidRPr="006967A8">
              <w:rPr>
                <w:noProof/>
                <w:webHidden/>
                <w:color w:val="000000" w:themeColor="text1"/>
              </w:rPr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6967A8">
              <w:rPr>
                <w:noProof/>
                <w:webHidden/>
                <w:color w:val="000000" w:themeColor="text1"/>
              </w:rPr>
              <w:t>11</w:t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6967A8" w:rsidRDefault="008711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7" w:history="1"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9.</w:t>
            </w:r>
            <w:r w:rsidR="00E560B6" w:rsidRPr="006967A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Показатели экономической эффективности инвестиционного проекта</w:t>
            </w:r>
            <w:r w:rsidR="00E560B6" w:rsidRPr="006967A8">
              <w:rPr>
                <w:noProof/>
                <w:webHidden/>
                <w:color w:val="000000" w:themeColor="text1"/>
              </w:rPr>
              <w:tab/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6967A8">
              <w:rPr>
                <w:noProof/>
                <w:webHidden/>
                <w:color w:val="000000" w:themeColor="text1"/>
              </w:rPr>
              <w:instrText xml:space="preserve"> PAGEREF _Toc309840747 \h </w:instrText>
            </w:r>
            <w:r w:rsidR="00FB6944" w:rsidRPr="006967A8">
              <w:rPr>
                <w:noProof/>
                <w:webHidden/>
                <w:color w:val="000000" w:themeColor="text1"/>
              </w:rPr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6967A8">
              <w:rPr>
                <w:noProof/>
                <w:webHidden/>
                <w:color w:val="000000" w:themeColor="text1"/>
              </w:rPr>
              <w:t>13</w:t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6967A8" w:rsidRDefault="008711F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8" w:history="1"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10.</w:t>
            </w:r>
            <w:r w:rsidR="00E560B6" w:rsidRPr="006967A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Анализ рисков и чувствительности проекта</w:t>
            </w:r>
            <w:r w:rsidR="00E560B6" w:rsidRPr="006967A8">
              <w:rPr>
                <w:noProof/>
                <w:webHidden/>
                <w:color w:val="000000" w:themeColor="text1"/>
              </w:rPr>
              <w:tab/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6967A8">
              <w:rPr>
                <w:noProof/>
                <w:webHidden/>
                <w:color w:val="000000" w:themeColor="text1"/>
              </w:rPr>
              <w:instrText xml:space="preserve"> PAGEREF _Toc309840748 \h </w:instrText>
            </w:r>
            <w:r w:rsidR="00FB6944" w:rsidRPr="006967A8">
              <w:rPr>
                <w:noProof/>
                <w:webHidden/>
                <w:color w:val="000000" w:themeColor="text1"/>
              </w:rPr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6967A8">
              <w:rPr>
                <w:noProof/>
                <w:webHidden/>
                <w:color w:val="000000" w:themeColor="text1"/>
              </w:rPr>
              <w:t>14</w:t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6967A8" w:rsidRDefault="008711F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9" w:history="1"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11.</w:t>
            </w:r>
            <w:r w:rsidR="00E560B6" w:rsidRPr="006967A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6967A8">
              <w:rPr>
                <w:rStyle w:val="a6"/>
                <w:rFonts w:eastAsiaTheme="majorEastAsia"/>
                <w:noProof/>
                <w:color w:val="000000" w:themeColor="text1"/>
              </w:rPr>
              <w:t>Выводы</w:t>
            </w:r>
            <w:r w:rsidR="00E560B6" w:rsidRPr="006967A8">
              <w:rPr>
                <w:noProof/>
                <w:webHidden/>
                <w:color w:val="000000" w:themeColor="text1"/>
              </w:rPr>
              <w:tab/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6967A8">
              <w:rPr>
                <w:noProof/>
                <w:webHidden/>
                <w:color w:val="000000" w:themeColor="text1"/>
              </w:rPr>
              <w:instrText xml:space="preserve"> PAGEREF _Toc309840749 \h </w:instrText>
            </w:r>
            <w:r w:rsidR="00FB6944" w:rsidRPr="006967A8">
              <w:rPr>
                <w:noProof/>
                <w:webHidden/>
                <w:color w:val="000000" w:themeColor="text1"/>
              </w:rPr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6967A8">
              <w:rPr>
                <w:noProof/>
                <w:webHidden/>
                <w:color w:val="000000" w:themeColor="text1"/>
              </w:rPr>
              <w:t>15</w:t>
            </w:r>
            <w:r w:rsidR="00FB6944" w:rsidRPr="006967A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3E7B52" w:rsidRPr="006967A8" w:rsidRDefault="00FB6944">
          <w:pPr>
            <w:rPr>
              <w:color w:val="000000" w:themeColor="text1"/>
            </w:rPr>
          </w:pPr>
          <w:r w:rsidRPr="006967A8">
            <w:rPr>
              <w:color w:val="000000" w:themeColor="text1"/>
            </w:rPr>
            <w:fldChar w:fldCharType="end"/>
          </w:r>
        </w:p>
      </w:sdtContent>
    </w:sdt>
    <w:p w:rsidR="00BF5B29" w:rsidRPr="006967A8" w:rsidRDefault="00BF5B29">
      <w:pPr>
        <w:rPr>
          <w:color w:val="000000" w:themeColor="text1"/>
        </w:rPr>
      </w:pPr>
    </w:p>
    <w:p w:rsidR="00BF5B29" w:rsidRPr="006967A8" w:rsidRDefault="00BF5B29">
      <w:pPr>
        <w:spacing w:after="200" w:line="276" w:lineRule="auto"/>
        <w:rPr>
          <w:color w:val="000000" w:themeColor="text1"/>
        </w:rPr>
      </w:pPr>
      <w:r w:rsidRPr="006967A8">
        <w:rPr>
          <w:color w:val="000000" w:themeColor="text1"/>
        </w:rPr>
        <w:br w:type="page"/>
      </w:r>
    </w:p>
    <w:p w:rsidR="00BF5B29" w:rsidRPr="006967A8" w:rsidRDefault="002642A5" w:rsidP="00BB477B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0" w:name="_Toc231645032"/>
      <w:bookmarkStart w:id="1" w:name="_Toc309840739"/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Общая информация о</w:t>
      </w:r>
      <w:r w:rsidR="00BF5B29"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bookmarkEnd w:id="0"/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bookmarkEnd w:id="1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884"/>
      </w:tblGrid>
      <w:tr w:rsidR="00A447DE" w:rsidRPr="006967A8" w:rsidTr="00BB477B">
        <w:tc>
          <w:tcPr>
            <w:tcW w:w="2005" w:type="dxa"/>
          </w:tcPr>
          <w:p w:rsidR="00A447DE" w:rsidRPr="006967A8" w:rsidRDefault="00A447DE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Описание инвестиционного проекта</w:t>
            </w:r>
          </w:p>
        </w:tc>
        <w:tc>
          <w:tcPr>
            <w:tcW w:w="7884" w:type="dxa"/>
          </w:tcPr>
          <w:p w:rsidR="00D75583" w:rsidRPr="006967A8" w:rsidRDefault="00BC05A7" w:rsidP="00D75583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И</w:t>
            </w:r>
            <w:r w:rsidR="00A447DE" w:rsidRPr="006967A8">
              <w:rPr>
                <w:color w:val="000000" w:themeColor="text1"/>
                <w:sz w:val="24"/>
                <w:szCs w:val="24"/>
              </w:rPr>
              <w:t>нвестиционн</w:t>
            </w:r>
            <w:r w:rsidRPr="006967A8">
              <w:rPr>
                <w:color w:val="000000" w:themeColor="text1"/>
                <w:sz w:val="24"/>
                <w:szCs w:val="24"/>
              </w:rPr>
              <w:t>ый</w:t>
            </w:r>
            <w:r w:rsidR="00A447DE" w:rsidRPr="006967A8">
              <w:rPr>
                <w:color w:val="000000" w:themeColor="text1"/>
                <w:sz w:val="24"/>
                <w:szCs w:val="24"/>
              </w:rPr>
              <w:t xml:space="preserve"> проект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предполагает </w:t>
            </w:r>
            <w:r w:rsidR="00D75583" w:rsidRPr="006967A8">
              <w:rPr>
                <w:color w:val="000000" w:themeColor="text1"/>
                <w:sz w:val="24"/>
                <w:szCs w:val="24"/>
              </w:rPr>
              <w:t>реконструкцию ПС 110/15</w:t>
            </w:r>
            <w:r w:rsidR="00AC56FB" w:rsidRPr="006967A8">
              <w:rPr>
                <w:color w:val="000000" w:themeColor="text1"/>
                <w:sz w:val="24"/>
                <w:szCs w:val="24"/>
              </w:rPr>
              <w:t>/10</w:t>
            </w:r>
            <w:r w:rsidR="00D75583" w:rsidRPr="006967A8">
              <w:rPr>
                <w:color w:val="000000" w:themeColor="text1"/>
                <w:sz w:val="24"/>
                <w:szCs w:val="24"/>
              </w:rPr>
              <w:t xml:space="preserve"> кВ О-</w:t>
            </w:r>
            <w:r w:rsidR="00AC56FB" w:rsidRPr="006967A8">
              <w:rPr>
                <w:color w:val="000000" w:themeColor="text1"/>
                <w:sz w:val="24"/>
                <w:szCs w:val="24"/>
              </w:rPr>
              <w:t>27</w:t>
            </w:r>
            <w:r w:rsidR="00D75583" w:rsidRPr="006967A8">
              <w:rPr>
                <w:color w:val="000000" w:themeColor="text1"/>
                <w:sz w:val="24"/>
                <w:szCs w:val="24"/>
              </w:rPr>
              <w:t xml:space="preserve"> «</w:t>
            </w:r>
            <w:r w:rsidR="00AC56FB" w:rsidRPr="006967A8">
              <w:rPr>
                <w:color w:val="000000" w:themeColor="text1"/>
                <w:sz w:val="24"/>
                <w:szCs w:val="24"/>
              </w:rPr>
              <w:t>Муромская</w:t>
            </w:r>
            <w:r w:rsidR="00D75583" w:rsidRPr="006967A8">
              <w:rPr>
                <w:color w:val="000000" w:themeColor="text1"/>
                <w:sz w:val="24"/>
                <w:szCs w:val="24"/>
              </w:rPr>
              <w:t xml:space="preserve">» с заменой 2-х трансформаторов </w:t>
            </w:r>
            <w:r w:rsidR="00D22F1E" w:rsidRPr="006967A8">
              <w:rPr>
                <w:color w:val="000000" w:themeColor="text1"/>
                <w:sz w:val="24"/>
                <w:szCs w:val="24"/>
              </w:rPr>
              <w:t xml:space="preserve">мощностью 10 МВА </w:t>
            </w:r>
            <w:r w:rsidR="007E4789" w:rsidRPr="006967A8">
              <w:rPr>
                <w:color w:val="000000" w:themeColor="text1"/>
                <w:sz w:val="24"/>
                <w:szCs w:val="24"/>
              </w:rPr>
              <w:t xml:space="preserve">на трансформаторы </w:t>
            </w:r>
            <w:r w:rsidR="00AC56FB" w:rsidRPr="006967A8">
              <w:rPr>
                <w:color w:val="000000" w:themeColor="text1"/>
                <w:sz w:val="24"/>
                <w:szCs w:val="24"/>
              </w:rPr>
              <w:t>мощностью 16 МВА</w:t>
            </w:r>
            <w:r w:rsidR="007E4789" w:rsidRPr="006967A8">
              <w:rPr>
                <w:color w:val="000000" w:themeColor="text1"/>
                <w:sz w:val="24"/>
                <w:szCs w:val="24"/>
              </w:rPr>
              <w:t xml:space="preserve">, </w:t>
            </w:r>
            <w:r w:rsidR="00D22F1E" w:rsidRPr="006967A8">
              <w:rPr>
                <w:color w:val="000000" w:themeColor="text1"/>
                <w:sz w:val="24"/>
                <w:szCs w:val="24"/>
              </w:rPr>
              <w:t>а также</w:t>
            </w:r>
            <w:r w:rsidR="007E4789" w:rsidRPr="006967A8">
              <w:rPr>
                <w:color w:val="000000" w:themeColor="text1"/>
                <w:sz w:val="24"/>
                <w:szCs w:val="24"/>
              </w:rPr>
              <w:t xml:space="preserve"> реконструкци</w:t>
            </w:r>
            <w:r w:rsidR="00D22F1E" w:rsidRPr="006967A8">
              <w:rPr>
                <w:color w:val="000000" w:themeColor="text1"/>
                <w:sz w:val="24"/>
                <w:szCs w:val="24"/>
              </w:rPr>
              <w:t>ю</w:t>
            </w:r>
            <w:r w:rsidR="007E4789" w:rsidRPr="006967A8">
              <w:rPr>
                <w:color w:val="000000" w:themeColor="text1"/>
                <w:sz w:val="24"/>
                <w:szCs w:val="24"/>
              </w:rPr>
              <w:t xml:space="preserve"> ОРУ 110 кВ</w:t>
            </w:r>
            <w:r w:rsidR="00AC56FB" w:rsidRPr="006967A8">
              <w:rPr>
                <w:color w:val="000000" w:themeColor="text1"/>
                <w:sz w:val="24"/>
                <w:szCs w:val="24"/>
              </w:rPr>
              <w:t>, ЗРУ 15 кВ и ЗРУ 10 кВ</w:t>
            </w:r>
            <w:r w:rsidR="007E4789" w:rsidRPr="006967A8">
              <w:rPr>
                <w:color w:val="000000" w:themeColor="text1"/>
                <w:sz w:val="24"/>
                <w:szCs w:val="24"/>
              </w:rPr>
              <w:t xml:space="preserve"> с заменой оборудования.</w:t>
            </w:r>
          </w:p>
          <w:p w:rsidR="00BB477B" w:rsidRPr="006967A8" w:rsidRDefault="00BB477B" w:rsidP="00BC05A7">
            <w:pPr>
              <w:pStyle w:val="a3"/>
              <w:spacing w:after="0"/>
              <w:ind w:left="263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447DE" w:rsidRPr="006967A8" w:rsidTr="00BB477B">
        <w:tc>
          <w:tcPr>
            <w:tcW w:w="2005" w:type="dxa"/>
          </w:tcPr>
          <w:p w:rsidR="00A447DE" w:rsidRPr="006967A8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Цели реализации ИП</w:t>
            </w:r>
          </w:p>
        </w:tc>
        <w:tc>
          <w:tcPr>
            <w:tcW w:w="7884" w:type="dxa"/>
          </w:tcPr>
          <w:p w:rsidR="0080113B" w:rsidRPr="006967A8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</w:rPr>
            </w:pPr>
            <w:r w:rsidRPr="006967A8">
              <w:rPr>
                <w:color w:val="000000" w:themeColor="text1"/>
                <w:sz w:val="24"/>
              </w:rPr>
              <w:t>обеспечение надежности электроснабжения;</w:t>
            </w:r>
          </w:p>
          <w:p w:rsidR="00AE50CE" w:rsidRPr="006967A8" w:rsidRDefault="00AE50CE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</w:rPr>
            </w:pPr>
            <w:r w:rsidRPr="006967A8">
              <w:rPr>
                <w:color w:val="000000" w:themeColor="text1"/>
                <w:sz w:val="24"/>
              </w:rPr>
              <w:t>обеспечение качества услуг;</w:t>
            </w:r>
          </w:p>
          <w:p w:rsidR="0080113B" w:rsidRPr="006967A8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</w:rPr>
            </w:pPr>
            <w:r w:rsidRPr="006967A8">
              <w:rPr>
                <w:color w:val="000000" w:themeColor="text1"/>
                <w:sz w:val="24"/>
              </w:rPr>
              <w:t>снижение эксплуатационных издержек;</w:t>
            </w:r>
          </w:p>
          <w:p w:rsidR="0080113B" w:rsidRPr="006967A8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</w:rPr>
              <w:t>увеличение объема услуг по</w:t>
            </w:r>
            <w:r w:rsidR="00A459A9" w:rsidRPr="006967A8">
              <w:rPr>
                <w:color w:val="000000" w:themeColor="text1"/>
                <w:sz w:val="24"/>
              </w:rPr>
              <w:t xml:space="preserve"> передаче электрической энергии.</w:t>
            </w:r>
          </w:p>
          <w:p w:rsidR="00BB477B" w:rsidRPr="006967A8" w:rsidRDefault="00BB477B" w:rsidP="00A459A9">
            <w:pPr>
              <w:pStyle w:val="12"/>
              <w:spacing w:before="0"/>
              <w:ind w:left="263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447DE" w:rsidRPr="006967A8" w:rsidTr="00BB477B">
        <w:tc>
          <w:tcPr>
            <w:tcW w:w="2005" w:type="dxa"/>
          </w:tcPr>
          <w:p w:rsidR="00A447DE" w:rsidRPr="006967A8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Основание для включения ИП</w:t>
            </w:r>
          </w:p>
        </w:tc>
        <w:tc>
          <w:tcPr>
            <w:tcW w:w="7884" w:type="dxa"/>
          </w:tcPr>
          <w:p w:rsidR="00B26FC3" w:rsidRPr="006967A8" w:rsidRDefault="00B26FC3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6967A8">
              <w:rPr>
                <w:color w:val="000000" w:themeColor="text1"/>
                <w:sz w:val="24"/>
              </w:rPr>
              <w:t>наличие договор</w:t>
            </w:r>
            <w:r w:rsidR="00A963F3" w:rsidRPr="006967A8">
              <w:rPr>
                <w:color w:val="000000" w:themeColor="text1"/>
                <w:sz w:val="24"/>
              </w:rPr>
              <w:t>ов</w:t>
            </w:r>
            <w:r w:rsidRPr="006967A8">
              <w:rPr>
                <w:color w:val="000000" w:themeColor="text1"/>
                <w:sz w:val="24"/>
              </w:rPr>
              <w:t xml:space="preserve"> на технологическое присоединение к планируемому к строительству (расширению) объекту</w:t>
            </w:r>
            <w:r w:rsidR="002201FA" w:rsidRPr="006967A8">
              <w:rPr>
                <w:color w:val="000000" w:themeColor="text1"/>
                <w:sz w:val="24"/>
              </w:rPr>
              <w:t>;</w:t>
            </w:r>
          </w:p>
          <w:p w:rsidR="00B26FC3" w:rsidRPr="006967A8" w:rsidRDefault="00B26FC3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6967A8">
              <w:rPr>
                <w:color w:val="000000" w:themeColor="text1"/>
                <w:sz w:val="24"/>
                <w:lang w:eastAsia="ru-RU"/>
              </w:rPr>
              <w:t>снятие сетевых ограничений на возможность присоединения к электрическим сетям;</w:t>
            </w:r>
          </w:p>
          <w:p w:rsidR="004D4D78" w:rsidRPr="006967A8" w:rsidRDefault="004D4D78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6967A8">
              <w:rPr>
                <w:color w:val="000000" w:themeColor="text1"/>
                <w:sz w:val="24"/>
              </w:rPr>
              <w:t>выполнение целевых программ энергосбережения и повышен</w:t>
            </w:r>
            <w:r w:rsidR="00C34F87" w:rsidRPr="006967A8">
              <w:rPr>
                <w:color w:val="000000" w:themeColor="text1"/>
                <w:sz w:val="24"/>
              </w:rPr>
              <w:t>ия энергетической эффективности.</w:t>
            </w:r>
          </w:p>
          <w:p w:rsidR="00A963F3" w:rsidRPr="006967A8" w:rsidRDefault="00A963F3" w:rsidP="00A963F3">
            <w:pPr>
              <w:shd w:val="clear" w:color="auto" w:fill="FFFFFF"/>
              <w:spacing w:line="360" w:lineRule="auto"/>
              <w:ind w:right="14" w:firstLine="360"/>
              <w:jc w:val="both"/>
              <w:rPr>
                <w:color w:val="000000" w:themeColor="text1"/>
              </w:rPr>
            </w:pPr>
          </w:p>
          <w:p w:rsidR="00CC1DF6" w:rsidRPr="006967A8" w:rsidRDefault="00CC1DF6" w:rsidP="00CC1DF6">
            <w:pPr>
              <w:jc w:val="both"/>
              <w:rPr>
                <w:color w:val="000000" w:themeColor="text1"/>
                <w:sz w:val="24"/>
              </w:rPr>
            </w:pPr>
            <w:r w:rsidRPr="006967A8">
              <w:rPr>
                <w:color w:val="000000" w:themeColor="text1"/>
                <w:sz w:val="24"/>
              </w:rPr>
              <w:t>Официальными документами основания для включения ИП в ИПР являются:</w:t>
            </w:r>
          </w:p>
          <w:p w:rsidR="00CC1DF6" w:rsidRPr="006967A8" w:rsidRDefault="00CC1DF6" w:rsidP="00CC1DF6">
            <w:pPr>
              <w:pStyle w:val="12"/>
              <w:ind w:left="0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CC1DF6" w:rsidRPr="006967A8" w:rsidRDefault="00CC1DF6" w:rsidP="00CC1DF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Схема и программа перспективного развития электроэнергетики Калининградской области на период 2014-2019 гг.</w:t>
            </w:r>
          </w:p>
          <w:p w:rsidR="00CC1DF6" w:rsidRPr="006967A8" w:rsidRDefault="00CC1DF6" w:rsidP="00CC1DF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FB13A2" w:rsidRPr="006967A8" w:rsidRDefault="00FB13A2" w:rsidP="00CC1DF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Подстанция О-</w:t>
            </w:r>
            <w:r w:rsidR="00F821B6" w:rsidRPr="006967A8">
              <w:rPr>
                <w:color w:val="000000" w:themeColor="text1"/>
                <w:sz w:val="24"/>
                <w:szCs w:val="24"/>
              </w:rPr>
              <w:t>27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«</w:t>
            </w:r>
            <w:r w:rsidR="00F821B6" w:rsidRPr="006967A8">
              <w:rPr>
                <w:color w:val="000000" w:themeColor="text1"/>
                <w:sz w:val="24"/>
                <w:szCs w:val="24"/>
              </w:rPr>
              <w:t>Муромская</w:t>
            </w:r>
            <w:r w:rsidR="0032158A" w:rsidRPr="006967A8">
              <w:rPr>
                <w:color w:val="000000" w:themeColor="text1"/>
                <w:sz w:val="24"/>
                <w:szCs w:val="24"/>
              </w:rPr>
              <w:t>» введена в эксплуатацию в 1972 году,</w:t>
            </w:r>
            <w:r w:rsidR="00422145"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967A8">
              <w:rPr>
                <w:color w:val="000000" w:themeColor="text1"/>
                <w:sz w:val="24"/>
                <w:szCs w:val="24"/>
              </w:rPr>
              <w:t>год выпуска силовых  трансформаторов – 19</w:t>
            </w:r>
            <w:r w:rsidR="0032158A" w:rsidRPr="006967A8">
              <w:rPr>
                <w:color w:val="000000" w:themeColor="text1"/>
                <w:sz w:val="24"/>
                <w:szCs w:val="24"/>
              </w:rPr>
              <w:t>72,</w:t>
            </w:r>
            <w:r w:rsidR="00E526B4"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  <w:r w:rsidR="0032158A" w:rsidRPr="006967A8">
              <w:rPr>
                <w:color w:val="000000" w:themeColor="text1"/>
                <w:sz w:val="24"/>
                <w:szCs w:val="24"/>
              </w:rPr>
              <w:t>1973</w:t>
            </w:r>
            <w:r w:rsidRPr="006967A8">
              <w:rPr>
                <w:color w:val="000000" w:themeColor="text1"/>
                <w:sz w:val="24"/>
                <w:szCs w:val="24"/>
              </w:rPr>
              <w:t>. Замена данного оборудования на современное высокотехнологичное оборудование со сниженным регламентом обслуживания позволит: снизить затраты на эксплуатацию, увеличить пропускную способность сети, значительно повысить сетевую надежность объекта, обеспечить соответствие показателей качества электроэнергии в точках общего присоединения требованиям ГОСТ 13109 – 97 (ГК РФ ст. 542) и соответственно минимизировать риски возмещения ущерба за недоотпуск и качество электроэнергии.</w:t>
            </w:r>
          </w:p>
          <w:p w:rsidR="00FB13A2" w:rsidRPr="006967A8" w:rsidRDefault="003C21E6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М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 xml:space="preserve">ощность 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установленных 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>силовых трансформаторов</w:t>
            </w:r>
            <w:r w:rsidR="00320CA6" w:rsidRPr="006967A8">
              <w:rPr>
                <w:color w:val="000000" w:themeColor="text1"/>
                <w:sz w:val="24"/>
                <w:szCs w:val="24"/>
              </w:rPr>
              <w:t xml:space="preserve"> на ПС О-</w:t>
            </w:r>
            <w:r w:rsidR="0032158A" w:rsidRPr="006967A8">
              <w:rPr>
                <w:color w:val="000000" w:themeColor="text1"/>
                <w:sz w:val="24"/>
                <w:szCs w:val="24"/>
              </w:rPr>
              <w:t>27</w:t>
            </w:r>
            <w:r w:rsidR="00320CA6" w:rsidRPr="006967A8">
              <w:rPr>
                <w:color w:val="000000" w:themeColor="text1"/>
                <w:sz w:val="24"/>
                <w:szCs w:val="24"/>
              </w:rPr>
              <w:t xml:space="preserve"> «</w:t>
            </w:r>
            <w:r w:rsidR="0032158A" w:rsidRPr="006967A8">
              <w:rPr>
                <w:color w:val="000000" w:themeColor="text1"/>
                <w:sz w:val="24"/>
                <w:szCs w:val="24"/>
              </w:rPr>
              <w:t>Муромская</w:t>
            </w:r>
            <w:r w:rsidR="00320CA6" w:rsidRPr="006967A8">
              <w:rPr>
                <w:color w:val="000000" w:themeColor="text1"/>
                <w:sz w:val="24"/>
                <w:szCs w:val="24"/>
              </w:rPr>
              <w:t>»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>: Т1 – 1</w:t>
            </w:r>
            <w:r w:rsidR="00422145" w:rsidRPr="006967A8">
              <w:rPr>
                <w:color w:val="000000" w:themeColor="text1"/>
                <w:sz w:val="24"/>
                <w:szCs w:val="24"/>
              </w:rPr>
              <w:t>0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 xml:space="preserve"> МВА; Т2 – 1</w:t>
            </w:r>
            <w:r w:rsidR="00422145" w:rsidRPr="006967A8">
              <w:rPr>
                <w:color w:val="000000" w:themeColor="text1"/>
                <w:sz w:val="24"/>
                <w:szCs w:val="24"/>
              </w:rPr>
              <w:t>0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 xml:space="preserve"> МВА.</w:t>
            </w:r>
            <w:r w:rsidR="00CB59E1"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 xml:space="preserve">Максимально допустимая нагрузка в режиме </w:t>
            </w:r>
            <w:r w:rsidR="00320CA6" w:rsidRPr="006967A8">
              <w:rPr>
                <w:color w:val="000000" w:themeColor="text1"/>
                <w:sz w:val="24"/>
                <w:szCs w:val="24"/>
              </w:rPr>
              <w:t>N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>-1 и с учетом резерва по электросетям 6-15 кВ существующих трансформаторов – 1</w:t>
            </w:r>
            <w:r w:rsidR="0032158A" w:rsidRPr="006967A8">
              <w:rPr>
                <w:color w:val="000000" w:themeColor="text1"/>
                <w:sz w:val="24"/>
                <w:szCs w:val="24"/>
              </w:rPr>
              <w:t>0,5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 xml:space="preserve"> МВА</w:t>
            </w:r>
            <w:r w:rsidR="001F298E" w:rsidRPr="006967A8">
              <w:rPr>
                <w:color w:val="000000" w:themeColor="text1"/>
                <w:sz w:val="24"/>
                <w:szCs w:val="24"/>
              </w:rPr>
              <w:t xml:space="preserve"> (9,660 МВт)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>.</w:t>
            </w:r>
            <w:r w:rsidR="008E436A" w:rsidRPr="006967A8">
              <w:rPr>
                <w:color w:val="000000" w:themeColor="text1"/>
                <w:sz w:val="24"/>
                <w:szCs w:val="24"/>
              </w:rPr>
              <w:t xml:space="preserve"> По состоянию на 01/</w:t>
            </w:r>
            <w:r w:rsidR="00EC7749" w:rsidRPr="006967A8">
              <w:rPr>
                <w:color w:val="000000" w:themeColor="text1"/>
                <w:sz w:val="24"/>
                <w:szCs w:val="24"/>
              </w:rPr>
              <w:t>01</w:t>
            </w:r>
            <w:r w:rsidR="008E436A" w:rsidRPr="006967A8">
              <w:rPr>
                <w:color w:val="000000" w:themeColor="text1"/>
                <w:sz w:val="24"/>
                <w:szCs w:val="24"/>
              </w:rPr>
              <w:t>/201</w:t>
            </w:r>
            <w:r w:rsidR="00EC7749" w:rsidRPr="006967A8">
              <w:rPr>
                <w:color w:val="000000" w:themeColor="text1"/>
                <w:sz w:val="24"/>
                <w:szCs w:val="24"/>
              </w:rPr>
              <w:t>4</w:t>
            </w:r>
            <w:r w:rsidR="008E436A"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 xml:space="preserve">максимальная фактическая нагрузка трансформаторов </w:t>
            </w:r>
            <w:r w:rsidR="008E436A" w:rsidRPr="006967A8">
              <w:rPr>
                <w:color w:val="000000" w:themeColor="text1"/>
                <w:sz w:val="24"/>
                <w:szCs w:val="24"/>
              </w:rPr>
              <w:t xml:space="preserve">составляет </w:t>
            </w:r>
            <w:r w:rsidR="001F298E" w:rsidRPr="006967A8">
              <w:rPr>
                <w:color w:val="000000" w:themeColor="text1"/>
                <w:sz w:val="24"/>
                <w:szCs w:val="24"/>
              </w:rPr>
              <w:t>12,1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 xml:space="preserve"> МВА</w:t>
            </w:r>
            <w:r w:rsidR="001F298E" w:rsidRPr="006967A8">
              <w:rPr>
                <w:color w:val="000000" w:themeColor="text1"/>
                <w:sz w:val="24"/>
                <w:szCs w:val="24"/>
              </w:rPr>
              <w:t xml:space="preserve"> (11,132 МВт)</w:t>
            </w:r>
            <w:r w:rsidR="00CF16A6" w:rsidRPr="006967A8">
              <w:rPr>
                <w:color w:val="000000" w:themeColor="text1"/>
                <w:sz w:val="24"/>
                <w:szCs w:val="24"/>
              </w:rPr>
              <w:t>. М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 xml:space="preserve">ощность по действующим договорам на технологическое присоединение </w:t>
            </w:r>
            <w:r w:rsidR="00CF16A6" w:rsidRPr="006967A8">
              <w:rPr>
                <w:color w:val="000000" w:themeColor="text1"/>
                <w:sz w:val="24"/>
                <w:szCs w:val="24"/>
              </w:rPr>
              <w:t xml:space="preserve">по состоянию на </w:t>
            </w:r>
            <w:r w:rsidR="00977B30" w:rsidRPr="006967A8">
              <w:rPr>
                <w:color w:val="000000" w:themeColor="text1"/>
                <w:sz w:val="24"/>
                <w:szCs w:val="24"/>
              </w:rPr>
              <w:t>0</w:t>
            </w:r>
            <w:r w:rsidR="00AA4BD3" w:rsidRPr="006967A8">
              <w:rPr>
                <w:color w:val="000000" w:themeColor="text1"/>
                <w:sz w:val="24"/>
                <w:szCs w:val="24"/>
              </w:rPr>
              <w:t>1</w:t>
            </w:r>
            <w:r w:rsidR="00CF16A6" w:rsidRPr="006967A8">
              <w:rPr>
                <w:color w:val="000000" w:themeColor="text1"/>
                <w:sz w:val="24"/>
                <w:szCs w:val="24"/>
              </w:rPr>
              <w:t>/</w:t>
            </w:r>
            <w:r w:rsidR="00AA4BD3" w:rsidRPr="006967A8">
              <w:rPr>
                <w:color w:val="000000" w:themeColor="text1"/>
                <w:sz w:val="24"/>
                <w:szCs w:val="24"/>
              </w:rPr>
              <w:t>0</w:t>
            </w:r>
            <w:r w:rsidR="00EC7749" w:rsidRPr="006967A8">
              <w:rPr>
                <w:color w:val="000000" w:themeColor="text1"/>
                <w:sz w:val="24"/>
                <w:szCs w:val="24"/>
              </w:rPr>
              <w:t>6</w:t>
            </w:r>
            <w:r w:rsidR="00CF16A6" w:rsidRPr="006967A8">
              <w:rPr>
                <w:color w:val="000000" w:themeColor="text1"/>
                <w:sz w:val="24"/>
                <w:szCs w:val="24"/>
              </w:rPr>
              <w:t>/201</w:t>
            </w:r>
            <w:r w:rsidR="00EC7749" w:rsidRPr="006967A8">
              <w:rPr>
                <w:color w:val="000000" w:themeColor="text1"/>
                <w:sz w:val="24"/>
                <w:szCs w:val="24"/>
              </w:rPr>
              <w:t>4</w:t>
            </w:r>
            <w:r w:rsidR="00CF16A6"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  <w:r w:rsidR="00EB2131" w:rsidRPr="006967A8">
              <w:rPr>
                <w:color w:val="000000" w:themeColor="text1"/>
                <w:sz w:val="24"/>
                <w:szCs w:val="24"/>
              </w:rPr>
              <w:t>составляет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  <w:r w:rsidR="001F298E" w:rsidRPr="006967A8">
              <w:rPr>
                <w:color w:val="000000" w:themeColor="text1"/>
                <w:sz w:val="24"/>
                <w:szCs w:val="24"/>
              </w:rPr>
              <w:t>1</w:t>
            </w:r>
            <w:r w:rsidR="00EC7749" w:rsidRPr="006967A8">
              <w:rPr>
                <w:color w:val="000000" w:themeColor="text1"/>
                <w:sz w:val="24"/>
                <w:szCs w:val="24"/>
              </w:rPr>
              <w:t>3,30</w:t>
            </w:r>
            <w:r w:rsidR="00977B30" w:rsidRPr="006967A8">
              <w:rPr>
                <w:color w:val="000000" w:themeColor="text1"/>
                <w:sz w:val="24"/>
                <w:szCs w:val="24"/>
              </w:rPr>
              <w:t xml:space="preserve"> МВА (</w:t>
            </w:r>
            <w:r w:rsidR="001F298E" w:rsidRPr="006967A8">
              <w:rPr>
                <w:color w:val="000000" w:themeColor="text1"/>
                <w:sz w:val="24"/>
                <w:szCs w:val="24"/>
              </w:rPr>
              <w:t>1</w:t>
            </w:r>
            <w:r w:rsidR="00EC7749" w:rsidRPr="006967A8">
              <w:rPr>
                <w:color w:val="000000" w:themeColor="text1"/>
                <w:sz w:val="24"/>
                <w:szCs w:val="24"/>
              </w:rPr>
              <w:t>2,236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  <w:r w:rsidR="00122CF8" w:rsidRPr="006967A8">
              <w:rPr>
                <w:color w:val="000000" w:themeColor="text1"/>
                <w:sz w:val="24"/>
                <w:szCs w:val="24"/>
              </w:rPr>
              <w:t>М</w:t>
            </w:r>
            <w:r w:rsidR="00A963F3" w:rsidRPr="006967A8">
              <w:rPr>
                <w:color w:val="000000" w:themeColor="text1"/>
                <w:sz w:val="24"/>
                <w:szCs w:val="24"/>
              </w:rPr>
              <w:t>В</w:t>
            </w:r>
            <w:r w:rsidR="00122CF8" w:rsidRPr="006967A8">
              <w:rPr>
                <w:color w:val="000000" w:themeColor="text1"/>
                <w:sz w:val="24"/>
                <w:szCs w:val="24"/>
              </w:rPr>
              <w:t>т</w:t>
            </w:r>
            <w:r w:rsidR="00977B30" w:rsidRPr="006967A8">
              <w:rPr>
                <w:color w:val="000000" w:themeColor="text1"/>
                <w:sz w:val="24"/>
                <w:szCs w:val="24"/>
              </w:rPr>
              <w:t>)</w:t>
            </w:r>
            <w:r w:rsidR="00187070" w:rsidRPr="006967A8">
              <w:rPr>
                <w:color w:val="000000" w:themeColor="text1"/>
                <w:sz w:val="24"/>
                <w:szCs w:val="24"/>
              </w:rPr>
              <w:t>.</w:t>
            </w:r>
            <w:r w:rsidR="008E436A"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FB13A2" w:rsidRPr="006967A8" w:rsidRDefault="00FB13A2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Отказ от реализации проекта при подъеме экономики может привести к дефициту мощности, прежде всего для предприятий сферы  промышленности и торговли, отсутствию гарантий надежности энергоснабжения существующих потребителей, отсутствию возможности обеспечить энергоснабжение новых микрорайонов. </w:t>
            </w:r>
          </w:p>
          <w:p w:rsidR="00FB13A2" w:rsidRPr="006967A8" w:rsidRDefault="00FB13A2" w:rsidP="00FB13A2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447DE" w:rsidRPr="006967A8" w:rsidRDefault="002108AC" w:rsidP="00317C6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Проект реконструкции  ПС 110/</w:t>
            </w:r>
            <w:r w:rsidR="00E772BE" w:rsidRPr="006967A8">
              <w:rPr>
                <w:color w:val="000000" w:themeColor="text1"/>
                <w:sz w:val="24"/>
                <w:szCs w:val="24"/>
              </w:rPr>
              <w:t>15</w:t>
            </w:r>
            <w:r w:rsidR="00317C60" w:rsidRPr="006967A8">
              <w:rPr>
                <w:color w:val="000000" w:themeColor="text1"/>
                <w:sz w:val="24"/>
                <w:szCs w:val="24"/>
              </w:rPr>
              <w:t>/10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кВ О-</w:t>
            </w:r>
            <w:r w:rsidR="00317C60" w:rsidRPr="006967A8">
              <w:rPr>
                <w:color w:val="000000" w:themeColor="text1"/>
                <w:sz w:val="24"/>
                <w:szCs w:val="24"/>
              </w:rPr>
              <w:t>27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«</w:t>
            </w:r>
            <w:r w:rsidR="00317C60" w:rsidRPr="006967A8">
              <w:rPr>
                <w:color w:val="000000" w:themeColor="text1"/>
                <w:sz w:val="24"/>
                <w:szCs w:val="24"/>
              </w:rPr>
              <w:t>Муромская</w:t>
            </w:r>
            <w:r w:rsidRPr="006967A8">
              <w:rPr>
                <w:color w:val="000000" w:themeColor="text1"/>
                <w:sz w:val="24"/>
                <w:szCs w:val="24"/>
              </w:rPr>
              <w:t>» не затрагивает вопросы обеспеченности топливом, а также вопросы выдачи мощности в ЕЭС России.</w:t>
            </w:r>
          </w:p>
          <w:p w:rsidR="00E748F9" w:rsidRPr="006967A8" w:rsidRDefault="00E748F9" w:rsidP="00317C6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F5B29" w:rsidRPr="006967A8" w:rsidRDefault="00BF5B29" w:rsidP="00E748F9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Toc231645033"/>
      <w:bookmarkStart w:id="3" w:name="_Toc309840740"/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Юридический статус объекта инвестиций</w:t>
      </w:r>
      <w:bookmarkEnd w:id="2"/>
      <w:bookmarkEnd w:id="3"/>
    </w:p>
    <w:p w:rsidR="00F52B72" w:rsidRPr="006967A8" w:rsidRDefault="00F52B72" w:rsidP="00F52B72">
      <w:pPr>
        <w:rPr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180647" w:rsidRPr="006967A8" w:rsidTr="00180647">
        <w:tc>
          <w:tcPr>
            <w:tcW w:w="2314" w:type="dxa"/>
          </w:tcPr>
          <w:p w:rsidR="00180647" w:rsidRPr="006967A8" w:rsidRDefault="00180647" w:rsidP="00026609">
            <w:pPr>
              <w:rPr>
                <w:b/>
                <w:color w:val="000000" w:themeColor="text1"/>
              </w:rPr>
            </w:pPr>
            <w:r w:rsidRPr="006967A8">
              <w:rPr>
                <w:b/>
                <w:color w:val="000000" w:themeColor="text1"/>
              </w:rPr>
              <w:t xml:space="preserve">Сведение об Обществе </w:t>
            </w:r>
          </w:p>
        </w:tc>
        <w:tc>
          <w:tcPr>
            <w:tcW w:w="7096" w:type="dxa"/>
          </w:tcPr>
          <w:p w:rsidR="00180647" w:rsidRPr="006967A8" w:rsidRDefault="00180647" w:rsidP="00180647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>АО «Янтарьэнерго»</w:t>
            </w:r>
          </w:p>
          <w:p w:rsidR="00180647" w:rsidRPr="006967A8" w:rsidRDefault="00180647" w:rsidP="00180647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>г.Калининград, ул. Театральная 34</w:t>
            </w:r>
          </w:p>
          <w:p w:rsidR="00180647" w:rsidRPr="006967A8" w:rsidRDefault="00180647" w:rsidP="00180647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>г.Калининград, ул. Театральная 34</w:t>
            </w:r>
          </w:p>
          <w:p w:rsidR="00180647" w:rsidRPr="006967A8" w:rsidRDefault="00BC775F" w:rsidP="00BC775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>Маковский И.В.,</w:t>
            </w:r>
            <w:r w:rsidR="00180647" w:rsidRPr="006967A8">
              <w:rPr>
                <w:color w:val="000000" w:themeColor="text1"/>
              </w:rPr>
              <w:t xml:space="preserve"> тел.576-459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891745" w:rsidRPr="006967A8" w:rsidTr="009B4969">
        <w:tc>
          <w:tcPr>
            <w:tcW w:w="2376" w:type="dxa"/>
          </w:tcPr>
          <w:p w:rsidR="00891745" w:rsidRPr="006967A8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6967A8" w:rsidRDefault="00891745" w:rsidP="0018064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180647" w:rsidRPr="006967A8" w:rsidTr="00180647">
        <w:tc>
          <w:tcPr>
            <w:tcW w:w="2314" w:type="dxa"/>
          </w:tcPr>
          <w:p w:rsidR="00180647" w:rsidRPr="006967A8" w:rsidRDefault="00180647" w:rsidP="00026609">
            <w:pPr>
              <w:rPr>
                <w:b/>
                <w:color w:val="000000" w:themeColor="text1"/>
              </w:rPr>
            </w:pPr>
            <w:r w:rsidRPr="006967A8">
              <w:rPr>
                <w:b/>
                <w:color w:val="000000" w:themeColor="text1"/>
              </w:rPr>
              <w:t>Сведения о филиале</w:t>
            </w:r>
          </w:p>
        </w:tc>
        <w:tc>
          <w:tcPr>
            <w:tcW w:w="7096" w:type="dxa"/>
          </w:tcPr>
          <w:p w:rsidR="00180647" w:rsidRPr="006967A8" w:rsidRDefault="00180647" w:rsidP="00026609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>«Западные электрические сети»</w:t>
            </w:r>
          </w:p>
          <w:p w:rsidR="000858EF" w:rsidRPr="006967A8" w:rsidRDefault="000858EF" w:rsidP="00026609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>г. Калининград, ул. Генерала Озерова, 18</w:t>
            </w:r>
          </w:p>
          <w:p w:rsidR="00180647" w:rsidRPr="006967A8" w:rsidRDefault="00BC775F" w:rsidP="0002171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>___________</w:t>
            </w:r>
            <w:r w:rsidR="00180647" w:rsidRPr="006967A8">
              <w:rPr>
                <w:color w:val="000000" w:themeColor="text1"/>
              </w:rPr>
              <w:t xml:space="preserve"> тел. 8 (4012) 21-45-93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891745" w:rsidRPr="006967A8" w:rsidTr="009B4969">
        <w:tc>
          <w:tcPr>
            <w:tcW w:w="2376" w:type="dxa"/>
          </w:tcPr>
          <w:p w:rsidR="00891745" w:rsidRPr="006967A8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6967A8" w:rsidRDefault="00891745" w:rsidP="00775A7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891745" w:rsidRPr="006967A8" w:rsidTr="009B4969">
        <w:tc>
          <w:tcPr>
            <w:tcW w:w="2376" w:type="dxa"/>
          </w:tcPr>
          <w:p w:rsidR="00891745" w:rsidRPr="006967A8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Сведения об объекте инвестиций</w:t>
            </w:r>
          </w:p>
        </w:tc>
        <w:tc>
          <w:tcPr>
            <w:tcW w:w="7575" w:type="dxa"/>
          </w:tcPr>
          <w:p w:rsidR="009067A4" w:rsidRPr="006967A8" w:rsidRDefault="00317C60" w:rsidP="009067A4">
            <w:pPr>
              <w:pStyle w:val="12"/>
              <w:spacing w:before="0"/>
              <w:ind w:left="318" w:firstLine="158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Пос. Муромское</w:t>
            </w:r>
          </w:p>
          <w:p w:rsidR="009067A4" w:rsidRPr="006967A8" w:rsidRDefault="009067A4" w:rsidP="009067A4">
            <w:pPr>
              <w:pStyle w:val="12"/>
              <w:spacing w:before="0"/>
              <w:ind w:left="318" w:firstLine="158"/>
              <w:rPr>
                <w:color w:val="000000" w:themeColor="text1"/>
                <w:sz w:val="24"/>
                <w:szCs w:val="24"/>
              </w:rPr>
            </w:pPr>
          </w:p>
          <w:p w:rsidR="009067A4" w:rsidRPr="006967A8" w:rsidRDefault="009067A4" w:rsidP="009067A4">
            <w:pPr>
              <w:pStyle w:val="12"/>
              <w:spacing w:before="0"/>
              <w:ind w:left="318" w:firstLine="158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43A82" w:rsidRPr="006967A8" w:rsidRDefault="00543A8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_Toc309840741"/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технические решения</w:t>
      </w:r>
      <w:bookmarkEnd w:id="4"/>
    </w:p>
    <w:p w:rsidR="00F52B72" w:rsidRPr="006967A8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66784F" w:rsidRPr="006967A8" w:rsidTr="00F52B72">
        <w:tc>
          <w:tcPr>
            <w:tcW w:w="2376" w:type="dxa"/>
          </w:tcPr>
          <w:p w:rsidR="0066784F" w:rsidRPr="006967A8" w:rsidRDefault="007F1BD8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Этап реализации проекта</w:t>
            </w:r>
          </w:p>
        </w:tc>
        <w:tc>
          <w:tcPr>
            <w:tcW w:w="7575" w:type="dxa"/>
          </w:tcPr>
          <w:p w:rsidR="008703EF" w:rsidRPr="006967A8" w:rsidRDefault="008703EF" w:rsidP="0066784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В 200</w:t>
            </w:r>
            <w:r w:rsidR="001E21C5" w:rsidRPr="006967A8">
              <w:rPr>
                <w:color w:val="000000" w:themeColor="text1"/>
                <w:sz w:val="24"/>
                <w:szCs w:val="24"/>
              </w:rPr>
              <w:t>9</w:t>
            </w:r>
            <w:r w:rsidR="007C2DF1" w:rsidRPr="006967A8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завершены проектные работы. </w:t>
            </w:r>
          </w:p>
          <w:p w:rsidR="00E9078B" w:rsidRPr="006967A8" w:rsidRDefault="00091AC3" w:rsidP="00091AC3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В 201</w:t>
            </w:r>
            <w:r w:rsidR="00D07923" w:rsidRPr="006967A8">
              <w:rPr>
                <w:color w:val="000000" w:themeColor="text1"/>
                <w:sz w:val="24"/>
                <w:szCs w:val="24"/>
              </w:rPr>
              <w:t>9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г. планируется </w:t>
            </w:r>
            <w:r w:rsidR="004D4480" w:rsidRPr="006967A8">
              <w:rPr>
                <w:color w:val="000000" w:themeColor="text1"/>
                <w:sz w:val="24"/>
                <w:szCs w:val="24"/>
              </w:rPr>
              <w:t>корректировка</w:t>
            </w:r>
            <w:r w:rsidR="004A6819" w:rsidRPr="006967A8">
              <w:rPr>
                <w:color w:val="000000" w:themeColor="text1"/>
                <w:sz w:val="24"/>
                <w:szCs w:val="24"/>
              </w:rPr>
              <w:t xml:space="preserve"> ПСД</w:t>
            </w:r>
            <w:r w:rsidR="004D4480" w:rsidRPr="006967A8">
              <w:rPr>
                <w:color w:val="000000" w:themeColor="text1"/>
                <w:sz w:val="24"/>
                <w:szCs w:val="24"/>
              </w:rPr>
              <w:t>.</w:t>
            </w:r>
          </w:p>
          <w:p w:rsidR="00091AC3" w:rsidRPr="006967A8" w:rsidRDefault="00E9078B" w:rsidP="00091AC3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В 20</w:t>
            </w:r>
            <w:r w:rsidR="00D07923" w:rsidRPr="006967A8">
              <w:rPr>
                <w:color w:val="000000" w:themeColor="text1"/>
                <w:sz w:val="24"/>
                <w:szCs w:val="24"/>
              </w:rPr>
              <w:t>20</w:t>
            </w:r>
            <w:r w:rsidR="004A6819" w:rsidRPr="006967A8">
              <w:rPr>
                <w:color w:val="000000" w:themeColor="text1"/>
                <w:sz w:val="24"/>
                <w:szCs w:val="24"/>
              </w:rPr>
              <w:t xml:space="preserve"> г. 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планируется поставка оборудования, выполнение СМР и ПНР </w:t>
            </w:r>
            <w:r w:rsidR="00091AC3" w:rsidRPr="006967A8">
              <w:rPr>
                <w:color w:val="000000" w:themeColor="text1"/>
                <w:sz w:val="24"/>
                <w:szCs w:val="24"/>
              </w:rPr>
              <w:t xml:space="preserve">в рамках 1-го п.к. с вводом в эксплуатацию </w:t>
            </w:r>
            <w:r w:rsidR="004A6819" w:rsidRPr="006967A8">
              <w:rPr>
                <w:color w:val="000000" w:themeColor="text1"/>
                <w:sz w:val="24"/>
                <w:szCs w:val="24"/>
              </w:rPr>
              <w:t>1х</w:t>
            </w:r>
            <w:r w:rsidR="00317C60" w:rsidRPr="006967A8">
              <w:rPr>
                <w:color w:val="000000" w:themeColor="text1"/>
                <w:sz w:val="24"/>
                <w:szCs w:val="24"/>
              </w:rPr>
              <w:t>16</w:t>
            </w:r>
            <w:r w:rsidR="00091AC3" w:rsidRPr="006967A8">
              <w:rPr>
                <w:color w:val="000000" w:themeColor="text1"/>
                <w:sz w:val="24"/>
                <w:szCs w:val="24"/>
              </w:rPr>
              <w:t xml:space="preserve"> МВА трансформаторной мощности (трансформатор Т-1). </w:t>
            </w:r>
          </w:p>
          <w:p w:rsidR="00F52B72" w:rsidRPr="006967A8" w:rsidRDefault="008703EF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E9078B" w:rsidRPr="006967A8">
              <w:rPr>
                <w:color w:val="000000" w:themeColor="text1"/>
                <w:sz w:val="24"/>
                <w:szCs w:val="24"/>
              </w:rPr>
              <w:t>20</w:t>
            </w:r>
            <w:r w:rsidR="00D07923" w:rsidRPr="006967A8">
              <w:rPr>
                <w:color w:val="000000" w:themeColor="text1"/>
                <w:sz w:val="24"/>
                <w:szCs w:val="24"/>
              </w:rPr>
              <w:t>21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г. </w:t>
            </w:r>
            <w:r w:rsidR="00BC775F" w:rsidRPr="006967A8">
              <w:rPr>
                <w:color w:val="000000" w:themeColor="text1"/>
                <w:sz w:val="24"/>
                <w:szCs w:val="24"/>
              </w:rPr>
              <w:t xml:space="preserve">планируется </w:t>
            </w:r>
            <w:r w:rsidRPr="006967A8">
              <w:rPr>
                <w:color w:val="000000" w:themeColor="text1"/>
                <w:sz w:val="24"/>
                <w:szCs w:val="24"/>
              </w:rPr>
              <w:t>поставка оборудования,</w:t>
            </w:r>
            <w:r w:rsidR="006320B2" w:rsidRPr="006967A8">
              <w:rPr>
                <w:color w:val="000000" w:themeColor="text1"/>
                <w:sz w:val="24"/>
                <w:szCs w:val="24"/>
              </w:rPr>
              <w:t xml:space="preserve"> выполнение СМР и ПНР в рамках </w:t>
            </w:r>
            <w:r w:rsidR="004B77F9" w:rsidRPr="006967A8">
              <w:rPr>
                <w:color w:val="000000" w:themeColor="text1"/>
                <w:sz w:val="24"/>
                <w:szCs w:val="24"/>
              </w:rPr>
              <w:t>2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-го п.к. с вводом </w:t>
            </w:r>
            <w:r w:rsidR="003645C9" w:rsidRPr="006967A8">
              <w:rPr>
                <w:color w:val="000000" w:themeColor="text1"/>
                <w:sz w:val="24"/>
                <w:szCs w:val="24"/>
              </w:rPr>
              <w:t xml:space="preserve">в эксплуатацию </w:t>
            </w:r>
            <w:r w:rsidR="004A6819" w:rsidRPr="006967A8">
              <w:rPr>
                <w:color w:val="000000" w:themeColor="text1"/>
                <w:sz w:val="24"/>
                <w:szCs w:val="24"/>
              </w:rPr>
              <w:t>1х</w:t>
            </w:r>
            <w:r w:rsidR="00317C60" w:rsidRPr="006967A8">
              <w:rPr>
                <w:color w:val="000000" w:themeColor="text1"/>
                <w:sz w:val="24"/>
                <w:szCs w:val="24"/>
              </w:rPr>
              <w:t>16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МВА трансформаторной мощности</w:t>
            </w:r>
            <w:r w:rsidR="00BD1ABF" w:rsidRPr="006967A8">
              <w:rPr>
                <w:color w:val="000000" w:themeColor="text1"/>
                <w:sz w:val="24"/>
                <w:szCs w:val="24"/>
              </w:rPr>
              <w:t xml:space="preserve"> (трансформатор Т-2)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8703EF" w:rsidRPr="006967A8" w:rsidRDefault="008703EF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6784F" w:rsidRPr="006967A8" w:rsidTr="00F52B72">
        <w:tc>
          <w:tcPr>
            <w:tcW w:w="2376" w:type="dxa"/>
          </w:tcPr>
          <w:p w:rsidR="0066784F" w:rsidRPr="006967A8" w:rsidRDefault="003A1EA5" w:rsidP="00BC0722">
            <w:pPr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Технологические решения</w:t>
            </w:r>
          </w:p>
        </w:tc>
        <w:tc>
          <w:tcPr>
            <w:tcW w:w="7575" w:type="dxa"/>
          </w:tcPr>
          <w:p w:rsidR="00775A77" w:rsidRPr="006967A8" w:rsidRDefault="00775A77" w:rsidP="00775A77">
            <w:pPr>
              <w:widowControl w:val="0"/>
              <w:shd w:val="clear" w:color="auto" w:fill="FFFFFF"/>
              <w:ind w:right="11" w:firstLine="357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 xml:space="preserve"> Проектом предусмотрена замена двух существующих трансформаторов 110/15/10 кВ мощностью 10 МВА на трансформаторы 110/15/10кВ мощностью 16 МВА; реконструкция фундаментов силовых трансформаторов, устройство маслоприемников и маслосборника, полная реконструкция ОРУ-110 кВ с выполнением вновь возводимого ОРУ по схеме 110-5АН на базе блочно-модульной конструкции "Исеть", применением элегазовых выключателей, трансформаторов тока, емкостных трансформаторов напряжения, разъединителей с электродвигательным приводом,  нелинейных ограничителей перенапряжения. При реконструкции ОРУ выполняется замена молниеприемников с учетом обеспечения молниезащиты подстанции и защиты вторичных цепей от импульсных помех. Выполняется полная реконструкция контура заземления подстанции, кабельной канализации. Проектом предусмотрена замена ограждения подстанции на бетонное, с устройством охранной сигнализации. Выполнены решения по планировке территории подстанции, дренажу, благоустройству территории. В части реконструкции ЗРУ 10 кВ и ЗРУ 15 кВ выполняется частичная модернизация ячеек, с заменой масляных выключателей на вакуумные, заменой трансформаторов тока, применением микропроцессорных релейных защит. Проектом предусмотрена замена токопроводов 10 кВ, а также ошиновки 15 кВ от силовых трансформаторов до здания ЗРУ.</w:t>
            </w:r>
          </w:p>
          <w:p w:rsidR="00775A77" w:rsidRPr="006967A8" w:rsidRDefault="00775A77" w:rsidP="00775A77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>Проектными решениями предусмотрена реконструкция системы собственных нужд подстанции, с заменой трансформаторов собственных нужд 10/0,23 кВ мощностью 63 кВА на герметичные масляные трансформаторы 10/0,4кВ мощностью 100 кВА и выполнением нового щита собственных нужд на основе Prisma Plus.</w:t>
            </w:r>
          </w:p>
          <w:p w:rsidR="00775A77" w:rsidRPr="006967A8" w:rsidRDefault="00775A77" w:rsidP="00775A77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 xml:space="preserve">Для реконструкции системы оперативного тока выполнена перепланировка помещения связи, с устройством помещения щита постоянного тока и помещения аккумуляторной батареи. Предусмотрена система оперативного постоянного тока 220 В, с применением аккумуляторной батареи емкостью 254 А∙ч с элементами с 20-летним сроком службы, щита постоянного тока с защитой от перенапряжений, взаимно резервирующими зарядно-выпрямительными устройствами Iн=80А с температурной и токовой стабилизацией. </w:t>
            </w:r>
          </w:p>
          <w:p w:rsidR="00775A77" w:rsidRPr="006967A8" w:rsidRDefault="00775A77" w:rsidP="00775A77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>Проектом предусмотрена реконструкция систем отопления, вентиляции, электроосвещения.</w:t>
            </w:r>
          </w:p>
          <w:p w:rsidR="00775A77" w:rsidRPr="006967A8" w:rsidRDefault="00775A77" w:rsidP="00775A77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>Выполняется полная реконструкция релейных защит подстанции с применением защит на микропроцессорных терминалах.</w:t>
            </w:r>
          </w:p>
          <w:p w:rsidR="00775A77" w:rsidRPr="006967A8" w:rsidRDefault="00775A77" w:rsidP="00775A77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>В проекте предусмотрены мероприятия по устройству сетей связи, телемеханики, автоматизированной информационно-измерительной системы коммерческого учета электроэнергии, автоматизированной системы управления технологическими процессами нижнего уровня на базе терминалов РЗА, системы регистрации аварийных событий.</w:t>
            </w:r>
          </w:p>
          <w:p w:rsidR="00775A77" w:rsidRPr="006967A8" w:rsidRDefault="00775A77" w:rsidP="00775A77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 xml:space="preserve">Устанавливаемые на подстанции силовые трансформаторы перевозятся с подстанции О-35 "Космодемьянская". </w:t>
            </w:r>
          </w:p>
          <w:p w:rsidR="00775A77" w:rsidRPr="006967A8" w:rsidRDefault="00775A77" w:rsidP="00775A77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>На первом этапе реконструкции предполагается выполнить следующие мероприятия: замену ограждения подстанции, реконструкцию помещения связи, косметический ремонт помещения ОПУ, монтаж систем освещения, отопления, вентиляции и кондиционирования, охранно-пожарной сигнализации, замену ТСН-2, монтаж нового щита собственных нужд 0,4 кВ, монтаж новой системы оперативного постоянного тока 220 В, вывод из работы ВЛ-120 и ячейки Т-2, демонтаж старых панелей №№ 23, 22, 20, 4, 9, 10, 11 в ОПУ, устройство нового маслосборника, демонтаж старого трансформатора Т-2, демонтаж существующей ячейки Т-2 и СВ в ОРУ-110 кВ, монтаж модуля ячейки Т-2 и СВ в ОРУ-110 кВ, реконструкцию фундамента Т-2 с устройством маслоприемника, монтаж нового силового трансформатора Т-2, вынос существующих трасс контрольных кабелей до Т-1, монтаж новой кабельной канализации и прокладка новых контрольных кабелей до ячейки 110 кВ Т-2 и до Т-2, монтаж ошиновки 15 кВ и токопровода 10 кВ, монтаж шкафов релейной защиты ячейки Т-2 в ОПУ, пусконаладочные работы,  ввод в работу ВЛ-120 и трансформатора Т-2.</w:t>
            </w:r>
          </w:p>
          <w:p w:rsidR="00775A77" w:rsidRPr="006967A8" w:rsidRDefault="00775A77" w:rsidP="00775A77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>На втором этапе реконструкции предполагается выполнить следующие мероприятия: вывод из работы ВЛ-119, демонтаж силового трансформатора Т-1, демонтаж старых панелей №№ 1-4, 19-12, 27-33 в ОПУ, демонтаж старой системы оперативного постоянного тока 110В, демонтаж существующей ячейки Т-1 в ОРУ-110 кВ, монтаж модуля ячейки Т-1 и ремонтной перемычки в ОРУ-110кВ, реконструкцию фундамента Т-1 с устройством маслоприемника, демонтаж существующих трасс контрольных кабелей до Т-1, монтаж новой кабельной канализации и прокладка новых контрольных кабелей до ячейки 110 кВ Т-1 и до Т-1, монтаж ошиновки 15 кВ и токопровода 10 кВ, монтаж шкафов релейной защиты ячейки Т-1 в ОПУ, пусконаладочные работы, ввод в работу ВЛ-119 и Т-1, монтаж и ввод в работу систем АСКУЭ, АСУТП, РАС, телемеханики и связи, реконструкцию ячеек ЗРУ 15кВ и ЗРУ 10 кВ, пусконаладочные работы, завершение работ по планировке и благоустройству территории подстанции.</w:t>
            </w:r>
          </w:p>
          <w:p w:rsidR="00775A77" w:rsidRPr="006967A8" w:rsidRDefault="00775A77" w:rsidP="00E47A49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>АИИС КУЭ ПС 110/15/10 кВ «Муромская» (уровень ИВКЭ) спроектирована на базе системы коммерческого учета автоматизированной типа «АльфаЦентр» (Госреестр РФ №20481-00), разработанной компанией «Эльстер Метроника» г. Москва. В объем работ по созданию АИИС КУЭ входит установка счетчиков электрической энергии Альфа 1800, Альфа 1700 и Альфа 1140 на панелях учета и перенос существующих счетчиков ЕвроАльфа ф. 27-2 и ф. 27-7 (Аэропорт) на панель учета, монтаж оборудования сбора и передачи данных АИИС КУЭ, наладка технических и программных средств коммерческого учета электроэнергии, опытная эксплуатация, промышленная эксплуатация.</w:t>
            </w:r>
          </w:p>
        </w:tc>
      </w:tr>
      <w:tr w:rsidR="007448C5" w:rsidRPr="006967A8" w:rsidTr="00F52B72">
        <w:tc>
          <w:tcPr>
            <w:tcW w:w="2376" w:type="dxa"/>
          </w:tcPr>
          <w:p w:rsidR="007448C5" w:rsidRPr="006967A8" w:rsidRDefault="007448C5" w:rsidP="00073E8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F52B72" w:rsidRPr="006967A8" w:rsidRDefault="00F52B72" w:rsidP="00073E8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52B72" w:rsidRPr="006967A8" w:rsidRDefault="009B4969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293590192"/>
      <w:bookmarkStart w:id="6" w:name="_Toc309840742"/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Инвестиционные затраты</w:t>
      </w:r>
      <w:bookmarkEnd w:id="5"/>
      <w:bookmarkEnd w:id="6"/>
    </w:p>
    <w:p w:rsidR="00F52B72" w:rsidRPr="006967A8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6D7C09" w:rsidRPr="006967A8" w:rsidTr="00F52B72">
        <w:tc>
          <w:tcPr>
            <w:tcW w:w="2376" w:type="dxa"/>
          </w:tcPr>
          <w:p w:rsidR="006D7C09" w:rsidRPr="006967A8" w:rsidRDefault="006D7C0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Определение величины инвестиционных затрат</w:t>
            </w:r>
          </w:p>
        </w:tc>
        <w:tc>
          <w:tcPr>
            <w:tcW w:w="7575" w:type="dxa"/>
          </w:tcPr>
          <w:p w:rsidR="00C64884" w:rsidRPr="006967A8" w:rsidRDefault="00C64884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В качестве источник</w:t>
            </w:r>
            <w:r w:rsidR="005C7B59" w:rsidRPr="006967A8">
              <w:rPr>
                <w:color w:val="000000" w:themeColor="text1"/>
                <w:sz w:val="24"/>
                <w:szCs w:val="24"/>
              </w:rPr>
              <w:t>а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определения величины инвестиционных затрат использова</w:t>
            </w:r>
            <w:r w:rsidR="005C7B59" w:rsidRPr="006967A8">
              <w:rPr>
                <w:color w:val="000000" w:themeColor="text1"/>
                <w:sz w:val="24"/>
                <w:szCs w:val="24"/>
              </w:rPr>
              <w:t xml:space="preserve">на проектно-сметная документация, разработанная </w:t>
            </w:r>
            <w:r w:rsidR="00992DCD" w:rsidRPr="006967A8">
              <w:rPr>
                <w:color w:val="000000" w:themeColor="text1"/>
                <w:sz w:val="24"/>
                <w:szCs w:val="24"/>
              </w:rPr>
              <w:t xml:space="preserve">                   </w:t>
            </w:r>
            <w:r w:rsidR="00D32133" w:rsidRPr="006967A8">
              <w:rPr>
                <w:color w:val="000000" w:themeColor="text1"/>
                <w:sz w:val="24"/>
                <w:szCs w:val="24"/>
              </w:rPr>
              <w:t>ЗАО "Инженерный центр "Энергосервис"</w:t>
            </w:r>
            <w:r w:rsidR="00992DCD"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  <w:r w:rsidR="005C7B59" w:rsidRPr="006967A8">
              <w:rPr>
                <w:color w:val="000000" w:themeColor="text1"/>
                <w:sz w:val="24"/>
                <w:szCs w:val="24"/>
              </w:rPr>
              <w:t>в 200</w:t>
            </w:r>
            <w:r w:rsidR="00D32133" w:rsidRPr="006967A8">
              <w:rPr>
                <w:color w:val="000000" w:themeColor="text1"/>
                <w:sz w:val="24"/>
                <w:szCs w:val="24"/>
              </w:rPr>
              <w:t>9</w:t>
            </w:r>
            <w:r w:rsidR="005C7B59" w:rsidRPr="006967A8">
              <w:rPr>
                <w:color w:val="000000" w:themeColor="text1"/>
                <w:sz w:val="24"/>
                <w:szCs w:val="24"/>
              </w:rPr>
              <w:t xml:space="preserve"> г. </w:t>
            </w:r>
          </w:p>
          <w:p w:rsidR="00F52B72" w:rsidRPr="006967A8" w:rsidRDefault="00F52B72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47A49" w:rsidRPr="006967A8" w:rsidRDefault="00E47A49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6D7C09" w:rsidRPr="006967A8" w:rsidTr="00F52B72">
        <w:tc>
          <w:tcPr>
            <w:tcW w:w="2376" w:type="dxa"/>
          </w:tcPr>
          <w:p w:rsidR="0002171F" w:rsidRPr="006967A8" w:rsidRDefault="0002171F" w:rsidP="00CF5E9B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D7C09" w:rsidRPr="006967A8" w:rsidRDefault="009B496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Обоснование инвестиционных затрат</w:t>
            </w:r>
          </w:p>
        </w:tc>
        <w:tc>
          <w:tcPr>
            <w:tcW w:w="7575" w:type="dxa"/>
          </w:tcPr>
          <w:p w:rsidR="006D7C09" w:rsidRPr="006967A8" w:rsidRDefault="005C7B59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В</w:t>
            </w:r>
            <w:r w:rsidR="00B322F2" w:rsidRPr="006967A8">
              <w:rPr>
                <w:color w:val="000000" w:themeColor="text1"/>
                <w:sz w:val="24"/>
                <w:szCs w:val="24"/>
              </w:rPr>
              <w:t xml:space="preserve"> качестве </w:t>
            </w:r>
            <w:r w:rsidR="009942B6" w:rsidRPr="006967A8">
              <w:rPr>
                <w:color w:val="000000" w:themeColor="text1"/>
                <w:sz w:val="24"/>
                <w:szCs w:val="24"/>
              </w:rPr>
              <w:t>обосновывающего документа</w:t>
            </w:r>
            <w:r w:rsidR="00B322F2" w:rsidRPr="006967A8">
              <w:rPr>
                <w:color w:val="000000" w:themeColor="text1"/>
                <w:sz w:val="24"/>
                <w:szCs w:val="24"/>
              </w:rPr>
              <w:t xml:space="preserve"> к бизнес-плану </w:t>
            </w:r>
            <w:r w:rsidR="009942B6" w:rsidRPr="006967A8">
              <w:rPr>
                <w:color w:val="000000" w:themeColor="text1"/>
                <w:sz w:val="24"/>
                <w:szCs w:val="24"/>
              </w:rPr>
              <w:t>представ</w:t>
            </w:r>
            <w:r w:rsidRPr="006967A8">
              <w:rPr>
                <w:color w:val="000000" w:themeColor="text1"/>
                <w:sz w:val="24"/>
                <w:szCs w:val="24"/>
              </w:rPr>
              <w:t>лены</w:t>
            </w:r>
            <w:r w:rsidR="009942B6" w:rsidRPr="006967A8">
              <w:rPr>
                <w:color w:val="000000" w:themeColor="text1"/>
                <w:sz w:val="24"/>
                <w:szCs w:val="24"/>
              </w:rPr>
              <w:t xml:space="preserve"> сводный сметный расчет стоимости строительства, объектные и локальные сметные расчеты (сметы), сметные р</w:t>
            </w:r>
            <w:r w:rsidR="007C2DF1" w:rsidRPr="006967A8">
              <w:rPr>
                <w:color w:val="000000" w:themeColor="text1"/>
                <w:sz w:val="24"/>
                <w:szCs w:val="24"/>
              </w:rPr>
              <w:t>асчеты на отдельные виды затрат по 1-му и 2-му п.к.</w:t>
            </w:r>
          </w:p>
          <w:p w:rsidR="00F52B72" w:rsidRPr="006967A8" w:rsidRDefault="00F52B72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E47A49" w:rsidRPr="006967A8" w:rsidRDefault="00E47A49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D7C09" w:rsidRPr="006967A8" w:rsidTr="00F52B72">
        <w:tc>
          <w:tcPr>
            <w:tcW w:w="2376" w:type="dxa"/>
          </w:tcPr>
          <w:p w:rsidR="006D7C09" w:rsidRPr="006967A8" w:rsidRDefault="00D64190" w:rsidP="00D64190">
            <w:pPr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Структура и</w:t>
            </w:r>
            <w:r w:rsidR="004033C6" w:rsidRPr="006967A8">
              <w:rPr>
                <w:b/>
                <w:color w:val="000000" w:themeColor="text1"/>
                <w:sz w:val="24"/>
                <w:szCs w:val="24"/>
              </w:rPr>
              <w:t>нвестицион</w:t>
            </w:r>
            <w:r w:rsidRPr="006967A8">
              <w:rPr>
                <w:b/>
                <w:color w:val="000000" w:themeColor="text1"/>
                <w:sz w:val="24"/>
                <w:szCs w:val="24"/>
              </w:rPr>
              <w:t xml:space="preserve">ных </w:t>
            </w:r>
            <w:r w:rsidR="004033C6" w:rsidRPr="006967A8">
              <w:rPr>
                <w:b/>
                <w:color w:val="000000" w:themeColor="text1"/>
                <w:sz w:val="24"/>
                <w:szCs w:val="24"/>
              </w:rPr>
              <w:t>затрат</w:t>
            </w:r>
          </w:p>
        </w:tc>
        <w:tc>
          <w:tcPr>
            <w:tcW w:w="7575" w:type="dxa"/>
          </w:tcPr>
          <w:p w:rsidR="000604B3" w:rsidRPr="006967A8" w:rsidRDefault="000518B8" w:rsidP="00D0792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Согласно </w:t>
            </w:r>
            <w:r w:rsidR="005A5C99" w:rsidRPr="006967A8">
              <w:rPr>
                <w:color w:val="000000" w:themeColor="text1"/>
                <w:sz w:val="24"/>
                <w:szCs w:val="24"/>
              </w:rPr>
              <w:t>утвержденной проектно-сметной документации инвестиционные затраты по проекту</w:t>
            </w:r>
            <w:r w:rsidR="00992DCD" w:rsidRPr="006967A8">
              <w:rPr>
                <w:color w:val="000000" w:themeColor="text1"/>
                <w:sz w:val="24"/>
                <w:szCs w:val="24"/>
              </w:rPr>
              <w:t xml:space="preserve"> в </w:t>
            </w:r>
            <w:r w:rsidR="00925D83" w:rsidRPr="006967A8">
              <w:rPr>
                <w:color w:val="000000" w:themeColor="text1"/>
                <w:sz w:val="24"/>
                <w:szCs w:val="24"/>
              </w:rPr>
              <w:t>прогнозных</w:t>
            </w:r>
            <w:r w:rsidR="00C01891" w:rsidRPr="006967A8">
              <w:rPr>
                <w:color w:val="000000" w:themeColor="text1"/>
                <w:sz w:val="24"/>
                <w:szCs w:val="24"/>
              </w:rPr>
              <w:t xml:space="preserve"> цен</w:t>
            </w:r>
            <w:r w:rsidR="00992DCD" w:rsidRPr="006967A8">
              <w:rPr>
                <w:color w:val="000000" w:themeColor="text1"/>
                <w:sz w:val="24"/>
                <w:szCs w:val="24"/>
              </w:rPr>
              <w:t>ах</w:t>
            </w:r>
            <w:r w:rsidR="005A5C99" w:rsidRPr="006967A8">
              <w:rPr>
                <w:color w:val="000000" w:themeColor="text1"/>
                <w:sz w:val="24"/>
                <w:szCs w:val="24"/>
              </w:rPr>
              <w:t xml:space="preserve"> состав</w:t>
            </w:r>
            <w:r w:rsidR="00D305E5" w:rsidRPr="006967A8">
              <w:rPr>
                <w:color w:val="000000" w:themeColor="text1"/>
                <w:sz w:val="24"/>
                <w:szCs w:val="24"/>
              </w:rPr>
              <w:t>ят</w:t>
            </w:r>
            <w:r w:rsidR="001E11F1" w:rsidRPr="006967A8">
              <w:rPr>
                <w:color w:val="000000" w:themeColor="text1"/>
                <w:sz w:val="24"/>
                <w:szCs w:val="24"/>
              </w:rPr>
              <w:t xml:space="preserve">              </w:t>
            </w:r>
            <w:r w:rsidR="005A5C99"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  <w:r w:rsidR="00844104" w:rsidRPr="006967A8">
              <w:rPr>
                <w:color w:val="000000" w:themeColor="text1"/>
                <w:sz w:val="24"/>
                <w:szCs w:val="24"/>
              </w:rPr>
              <w:t xml:space="preserve"> 1</w:t>
            </w:r>
            <w:r w:rsidR="00D07923" w:rsidRPr="006967A8">
              <w:rPr>
                <w:color w:val="000000" w:themeColor="text1"/>
                <w:sz w:val="24"/>
                <w:szCs w:val="24"/>
              </w:rPr>
              <w:t>72 635</w:t>
            </w:r>
            <w:r w:rsidR="005A5C99" w:rsidRPr="006967A8">
              <w:rPr>
                <w:color w:val="000000" w:themeColor="text1"/>
                <w:sz w:val="24"/>
                <w:szCs w:val="24"/>
              </w:rPr>
              <w:t xml:space="preserve"> тыс.руб.</w:t>
            </w:r>
            <w:r w:rsidR="004214AF" w:rsidRPr="006967A8">
              <w:rPr>
                <w:color w:val="000000" w:themeColor="text1"/>
                <w:sz w:val="24"/>
                <w:szCs w:val="24"/>
              </w:rPr>
              <w:t xml:space="preserve"> без учета НДС.</w:t>
            </w:r>
          </w:p>
        </w:tc>
      </w:tr>
    </w:tbl>
    <w:p w:rsidR="005A5C99" w:rsidRPr="006967A8" w:rsidRDefault="005A5C99" w:rsidP="000604B3">
      <w:pPr>
        <w:pStyle w:val="af"/>
        <w:rPr>
          <w:b/>
          <w:color w:val="000000" w:themeColor="text1"/>
        </w:rPr>
      </w:pPr>
    </w:p>
    <w:p w:rsidR="00E47A49" w:rsidRPr="006967A8" w:rsidRDefault="00E47A49" w:rsidP="00E47A49"/>
    <w:p w:rsidR="00DD39D8" w:rsidRPr="006967A8" w:rsidRDefault="00DD39D8" w:rsidP="000604B3">
      <w:pPr>
        <w:pStyle w:val="af"/>
        <w:rPr>
          <w:b/>
          <w:color w:val="000000" w:themeColor="text1"/>
        </w:rPr>
      </w:pPr>
      <w:r w:rsidRPr="006967A8">
        <w:rPr>
          <w:b/>
          <w:color w:val="000000" w:themeColor="text1"/>
        </w:rPr>
        <w:t>Таблица</w:t>
      </w:r>
      <w:r w:rsidR="000604B3" w:rsidRPr="006967A8">
        <w:rPr>
          <w:b/>
          <w:color w:val="000000" w:themeColor="text1"/>
        </w:rPr>
        <w:t xml:space="preserve"> </w:t>
      </w:r>
      <w:r w:rsidR="0076615E" w:rsidRPr="006967A8">
        <w:rPr>
          <w:b/>
          <w:color w:val="000000" w:themeColor="text1"/>
        </w:rPr>
        <w:t>1</w:t>
      </w:r>
      <w:r w:rsidRPr="006967A8">
        <w:rPr>
          <w:b/>
          <w:color w:val="000000" w:themeColor="text1"/>
        </w:rPr>
        <w:t>. Структура инвестиционных затрат</w:t>
      </w:r>
    </w:p>
    <w:p w:rsidR="00E47A49" w:rsidRPr="006967A8" w:rsidRDefault="00E47A49" w:rsidP="00E47A49"/>
    <w:tbl>
      <w:tblPr>
        <w:tblW w:w="100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6613"/>
        <w:gridCol w:w="1222"/>
        <w:gridCol w:w="1326"/>
      </w:tblGrid>
      <w:tr w:rsidR="007330FD" w:rsidRPr="006967A8" w:rsidTr="00F80431">
        <w:trPr>
          <w:trHeight w:val="330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6967A8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6967A8">
              <w:rPr>
                <w:b/>
                <w:bCs/>
                <w:color w:val="000000" w:themeColor="text1"/>
                <w:sz w:val="22"/>
                <w:szCs w:val="22"/>
              </w:rPr>
              <w:t>Наименование статьи затрат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6967A8">
              <w:rPr>
                <w:b/>
                <w:bCs/>
                <w:color w:val="000000" w:themeColor="text1"/>
                <w:sz w:val="22"/>
                <w:szCs w:val="22"/>
              </w:rPr>
              <w:t>Ед.изм.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6967A8">
              <w:rPr>
                <w:b/>
                <w:bCs/>
                <w:color w:val="000000" w:themeColor="text1"/>
                <w:sz w:val="22"/>
                <w:szCs w:val="22"/>
              </w:rPr>
              <w:t>Итого</w:t>
            </w:r>
          </w:p>
        </w:tc>
      </w:tr>
      <w:tr w:rsidR="007330FD" w:rsidRPr="006967A8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bCs/>
                <w:color w:val="000000" w:themeColor="text1"/>
              </w:rPr>
            </w:pPr>
            <w:r w:rsidRPr="006967A8">
              <w:rPr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FD" w:rsidRPr="006967A8" w:rsidRDefault="007330FD" w:rsidP="00700753">
            <w:pPr>
              <w:rPr>
                <w:bCs/>
                <w:color w:val="000000" w:themeColor="text1"/>
              </w:rPr>
            </w:pPr>
            <w:r w:rsidRPr="006967A8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bCs/>
                <w:color w:val="000000" w:themeColor="text1"/>
              </w:rPr>
            </w:pPr>
            <w:r w:rsidRPr="006967A8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4D4480" w:rsidP="00D07923">
            <w:pPr>
              <w:jc w:val="center"/>
              <w:rPr>
                <w:bCs/>
                <w:color w:val="000000" w:themeColor="text1"/>
              </w:rPr>
            </w:pPr>
            <w:r w:rsidRPr="006967A8">
              <w:rPr>
                <w:bCs/>
                <w:color w:val="000000" w:themeColor="text1"/>
              </w:rPr>
              <w:t>1</w:t>
            </w:r>
            <w:r w:rsidR="00D07923" w:rsidRPr="006967A8">
              <w:rPr>
                <w:bCs/>
                <w:color w:val="000000" w:themeColor="text1"/>
              </w:rPr>
              <w:t>72 635</w:t>
            </w:r>
          </w:p>
        </w:tc>
      </w:tr>
      <w:tr w:rsidR="007330FD" w:rsidRPr="006967A8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FD" w:rsidRPr="006967A8" w:rsidRDefault="007330FD" w:rsidP="00700753">
            <w:pPr>
              <w:ind w:firstLineChars="100" w:firstLine="220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4D4480" w:rsidP="00D0792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 xml:space="preserve">9 </w:t>
            </w:r>
            <w:r w:rsidR="00D07923" w:rsidRPr="006967A8">
              <w:rPr>
                <w:color w:val="000000" w:themeColor="text1"/>
              </w:rPr>
              <w:t>314</w:t>
            </w:r>
          </w:p>
        </w:tc>
      </w:tr>
      <w:tr w:rsidR="007330FD" w:rsidRPr="006967A8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FD" w:rsidRPr="006967A8" w:rsidRDefault="007330FD" w:rsidP="00700753">
            <w:pPr>
              <w:ind w:firstLineChars="100" w:firstLine="220"/>
              <w:jc w:val="both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343EDF" w:rsidP="004A6819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>34 532</w:t>
            </w:r>
          </w:p>
        </w:tc>
      </w:tr>
      <w:tr w:rsidR="007330FD" w:rsidRPr="006967A8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FD" w:rsidRPr="006967A8" w:rsidRDefault="007330FD" w:rsidP="00700753">
            <w:pPr>
              <w:ind w:firstLineChars="100" w:firstLine="220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31" w:rsidRPr="006967A8" w:rsidRDefault="00343EDF" w:rsidP="003F4C6D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>95 138</w:t>
            </w:r>
          </w:p>
        </w:tc>
      </w:tr>
      <w:tr w:rsidR="007330FD" w:rsidRPr="006967A8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FD" w:rsidRPr="006967A8" w:rsidRDefault="007330FD" w:rsidP="00700753">
            <w:pPr>
              <w:ind w:firstLineChars="100" w:firstLine="220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Здания и сооружения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3F4C6D">
            <w:pPr>
              <w:jc w:val="center"/>
              <w:rPr>
                <w:color w:val="000000" w:themeColor="text1"/>
              </w:rPr>
            </w:pPr>
          </w:p>
        </w:tc>
      </w:tr>
      <w:tr w:rsidR="007330FD" w:rsidRPr="006967A8" w:rsidTr="00F80431">
        <w:trPr>
          <w:trHeight w:val="297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FD" w:rsidRPr="006967A8" w:rsidRDefault="007330FD" w:rsidP="00700753">
            <w:pPr>
              <w:ind w:firstLineChars="100" w:firstLine="220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Получение разрешительной документации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3F4C6D">
            <w:pPr>
              <w:jc w:val="center"/>
              <w:rPr>
                <w:color w:val="000000" w:themeColor="text1"/>
              </w:rPr>
            </w:pPr>
          </w:p>
        </w:tc>
      </w:tr>
      <w:tr w:rsidR="007330FD" w:rsidRPr="006967A8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FD" w:rsidRPr="006967A8" w:rsidRDefault="007330FD" w:rsidP="00700753">
            <w:pPr>
              <w:ind w:firstLineChars="100" w:firstLine="220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3F4C6D">
            <w:pPr>
              <w:jc w:val="center"/>
              <w:rPr>
                <w:color w:val="000000" w:themeColor="text1"/>
              </w:rPr>
            </w:pPr>
          </w:p>
        </w:tc>
      </w:tr>
      <w:tr w:rsidR="007330FD" w:rsidRPr="006967A8" w:rsidTr="00F80431">
        <w:trPr>
          <w:trHeight w:val="330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1.7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FD" w:rsidRPr="006967A8" w:rsidRDefault="007330FD" w:rsidP="00700753">
            <w:pPr>
              <w:ind w:firstLineChars="100" w:firstLine="220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343EDF" w:rsidP="00343EDF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>33 651</w:t>
            </w:r>
          </w:p>
        </w:tc>
      </w:tr>
      <w:tr w:rsidR="007330FD" w:rsidRPr="006967A8" w:rsidTr="00F80431">
        <w:trPr>
          <w:trHeight w:val="296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FD" w:rsidRPr="006967A8" w:rsidRDefault="007330FD" w:rsidP="00700753">
            <w:pPr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700753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FD" w:rsidRPr="006967A8" w:rsidRDefault="007330FD" w:rsidP="003F4C6D">
            <w:pPr>
              <w:jc w:val="center"/>
              <w:rPr>
                <w:color w:val="000000" w:themeColor="text1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91D47" w:rsidRPr="006967A8" w:rsidTr="00F52B72">
        <w:tc>
          <w:tcPr>
            <w:tcW w:w="2376" w:type="dxa"/>
          </w:tcPr>
          <w:p w:rsidR="00C80F73" w:rsidRPr="006967A8" w:rsidRDefault="00C80F73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4033C6" w:rsidRPr="006967A8" w:rsidRDefault="004033C6" w:rsidP="007330FD">
            <w:pPr>
              <w:ind w:right="193"/>
              <w:rPr>
                <w:b/>
                <w:color w:val="000000" w:themeColor="text1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Инвестиционные затраты</w:t>
            </w:r>
            <w:r w:rsidR="00A35EC5" w:rsidRPr="006967A8">
              <w:rPr>
                <w:b/>
                <w:color w:val="000000" w:themeColor="text1"/>
              </w:rPr>
              <w:t xml:space="preserve"> </w:t>
            </w:r>
            <w:r w:rsidR="00022611" w:rsidRPr="006967A8">
              <w:rPr>
                <w:b/>
                <w:color w:val="000000" w:themeColor="text1"/>
              </w:rPr>
              <w:t>на период строительства</w:t>
            </w:r>
          </w:p>
        </w:tc>
        <w:tc>
          <w:tcPr>
            <w:tcW w:w="7575" w:type="dxa"/>
          </w:tcPr>
          <w:p w:rsidR="00C80F73" w:rsidRPr="006967A8" w:rsidRDefault="00C80F73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</w:p>
          <w:p w:rsidR="00837D11" w:rsidRPr="006967A8" w:rsidRDefault="00DB2FE3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Инвестиционные затраты на период </w:t>
            </w:r>
            <w:r w:rsidR="00860CC7" w:rsidRPr="006967A8">
              <w:rPr>
                <w:color w:val="000000" w:themeColor="text1"/>
                <w:sz w:val="24"/>
                <w:szCs w:val="24"/>
              </w:rPr>
              <w:t xml:space="preserve">реконструкции представлены 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F52B72" w:rsidRPr="006967A8">
              <w:rPr>
                <w:color w:val="000000" w:themeColor="text1"/>
                <w:sz w:val="24"/>
                <w:szCs w:val="24"/>
              </w:rPr>
              <w:t>таблице</w:t>
            </w:r>
            <w:r w:rsidR="005D2BF4"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  <w:r w:rsidR="0076615E" w:rsidRPr="006967A8">
              <w:rPr>
                <w:color w:val="000000" w:themeColor="text1"/>
              </w:rPr>
              <w:t>2</w:t>
            </w:r>
            <w:r w:rsidR="00F52B72" w:rsidRPr="006967A8">
              <w:rPr>
                <w:color w:val="000000" w:themeColor="text1"/>
                <w:sz w:val="24"/>
                <w:szCs w:val="24"/>
              </w:rPr>
              <w:t>.</w:t>
            </w:r>
          </w:p>
          <w:p w:rsidR="004033C6" w:rsidRPr="006967A8" w:rsidRDefault="004033C6" w:rsidP="00860CC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80F73" w:rsidRPr="006967A8" w:rsidRDefault="00C80F73" w:rsidP="00C80F73">
      <w:pPr>
        <w:rPr>
          <w:color w:val="000000" w:themeColor="text1"/>
        </w:rPr>
      </w:pPr>
      <w:bookmarkStart w:id="7" w:name="_Ref291537841"/>
    </w:p>
    <w:p w:rsidR="005E414D" w:rsidRPr="006967A8" w:rsidRDefault="00CD1891" w:rsidP="005D2BF4">
      <w:pPr>
        <w:pStyle w:val="af"/>
        <w:rPr>
          <w:b/>
          <w:color w:val="000000" w:themeColor="text1"/>
        </w:rPr>
      </w:pPr>
      <w:r w:rsidRPr="006967A8">
        <w:rPr>
          <w:b/>
          <w:color w:val="000000" w:themeColor="text1"/>
        </w:rPr>
        <w:t>Табл</w:t>
      </w:r>
      <w:r w:rsidR="00F52B72" w:rsidRPr="006967A8">
        <w:rPr>
          <w:b/>
          <w:color w:val="000000" w:themeColor="text1"/>
        </w:rPr>
        <w:t>ица</w:t>
      </w:r>
      <w:bookmarkEnd w:id="7"/>
      <w:r w:rsidR="005D2BF4" w:rsidRPr="006967A8">
        <w:rPr>
          <w:b/>
          <w:color w:val="000000" w:themeColor="text1"/>
        </w:rPr>
        <w:t xml:space="preserve"> </w:t>
      </w:r>
      <w:r w:rsidR="0076615E" w:rsidRPr="006967A8">
        <w:rPr>
          <w:b/>
          <w:color w:val="000000" w:themeColor="text1"/>
        </w:rPr>
        <w:t>2</w:t>
      </w:r>
      <w:r w:rsidRPr="006967A8">
        <w:rPr>
          <w:b/>
          <w:color w:val="000000" w:themeColor="text1"/>
        </w:rPr>
        <w:t xml:space="preserve">. </w:t>
      </w:r>
      <w:r w:rsidR="004033C6" w:rsidRPr="006967A8">
        <w:rPr>
          <w:b/>
          <w:color w:val="000000" w:themeColor="text1"/>
        </w:rPr>
        <w:t>Инвестиционные затраты на период строительства</w:t>
      </w:r>
    </w:p>
    <w:p w:rsidR="00F52B72" w:rsidRPr="006967A8" w:rsidRDefault="00F52B72" w:rsidP="00F52B72">
      <w:pPr>
        <w:rPr>
          <w:color w:val="000000" w:themeColor="text1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3774"/>
        <w:gridCol w:w="992"/>
        <w:gridCol w:w="850"/>
        <w:gridCol w:w="992"/>
        <w:gridCol w:w="993"/>
        <w:gridCol w:w="993"/>
      </w:tblGrid>
      <w:tr w:rsidR="00B31220" w:rsidRPr="006967A8" w:rsidTr="00EC005D">
        <w:trPr>
          <w:trHeight w:val="330"/>
        </w:trPr>
        <w:tc>
          <w:tcPr>
            <w:tcW w:w="932" w:type="dxa"/>
            <w:shd w:val="clear" w:color="000000" w:fill="C5D9F1"/>
            <w:noWrap/>
            <w:vAlign w:val="center"/>
            <w:hideMark/>
          </w:tcPr>
          <w:p w:rsidR="00B31220" w:rsidRPr="006967A8" w:rsidRDefault="00B31220" w:rsidP="00CF5E9B">
            <w:pPr>
              <w:jc w:val="center"/>
              <w:rPr>
                <w:b/>
                <w:bCs/>
                <w:color w:val="000000" w:themeColor="text1"/>
              </w:rPr>
            </w:pPr>
            <w:r w:rsidRPr="006967A8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3774" w:type="dxa"/>
            <w:shd w:val="clear" w:color="000000" w:fill="C5D9F1"/>
            <w:noWrap/>
            <w:vAlign w:val="center"/>
            <w:hideMark/>
          </w:tcPr>
          <w:p w:rsidR="00B31220" w:rsidRPr="006967A8" w:rsidRDefault="00B31220" w:rsidP="00CF5E9B">
            <w:pPr>
              <w:jc w:val="center"/>
              <w:rPr>
                <w:b/>
                <w:bCs/>
                <w:color w:val="000000" w:themeColor="text1"/>
              </w:rPr>
            </w:pPr>
            <w:r w:rsidRPr="006967A8">
              <w:rPr>
                <w:b/>
                <w:bCs/>
                <w:color w:val="000000" w:themeColor="text1"/>
              </w:rPr>
              <w:t>Наименование статьи затрат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B31220" w:rsidRPr="006967A8" w:rsidRDefault="00B31220" w:rsidP="00CF5E9B">
            <w:pPr>
              <w:jc w:val="center"/>
              <w:rPr>
                <w:b/>
                <w:bCs/>
                <w:color w:val="000000" w:themeColor="text1"/>
              </w:rPr>
            </w:pPr>
            <w:r w:rsidRPr="006967A8">
              <w:rPr>
                <w:b/>
                <w:bCs/>
                <w:color w:val="000000" w:themeColor="text1"/>
              </w:rPr>
              <w:t>Ед.изм.</w:t>
            </w:r>
          </w:p>
        </w:tc>
        <w:tc>
          <w:tcPr>
            <w:tcW w:w="850" w:type="dxa"/>
            <w:shd w:val="clear" w:color="000000" w:fill="C5D9F1"/>
            <w:noWrap/>
            <w:vAlign w:val="center"/>
            <w:hideMark/>
          </w:tcPr>
          <w:p w:rsidR="00B31220" w:rsidRPr="006967A8" w:rsidRDefault="00B31220" w:rsidP="005A5C99">
            <w:pPr>
              <w:jc w:val="center"/>
              <w:rPr>
                <w:b/>
                <w:bCs/>
                <w:color w:val="000000" w:themeColor="text1"/>
              </w:rPr>
            </w:pPr>
            <w:r w:rsidRPr="006967A8">
              <w:rPr>
                <w:b/>
                <w:bCs/>
                <w:color w:val="000000" w:themeColor="text1"/>
              </w:rPr>
              <w:t>2009</w:t>
            </w:r>
          </w:p>
        </w:tc>
        <w:tc>
          <w:tcPr>
            <w:tcW w:w="992" w:type="dxa"/>
            <w:shd w:val="clear" w:color="000000" w:fill="C5D9F1"/>
            <w:vAlign w:val="center"/>
          </w:tcPr>
          <w:p w:rsidR="00B31220" w:rsidRPr="006967A8" w:rsidRDefault="00B31220" w:rsidP="00D07923">
            <w:pPr>
              <w:jc w:val="center"/>
              <w:rPr>
                <w:b/>
                <w:bCs/>
                <w:color w:val="000000" w:themeColor="text1"/>
              </w:rPr>
            </w:pPr>
            <w:r w:rsidRPr="006967A8">
              <w:rPr>
                <w:b/>
                <w:bCs/>
                <w:color w:val="000000" w:themeColor="text1"/>
              </w:rPr>
              <w:t>201</w:t>
            </w:r>
            <w:r w:rsidR="00D07923" w:rsidRPr="006967A8">
              <w:rPr>
                <w:b/>
                <w:bCs/>
                <w:color w:val="000000" w:themeColor="text1"/>
              </w:rPr>
              <w:t>9</w:t>
            </w:r>
          </w:p>
        </w:tc>
        <w:tc>
          <w:tcPr>
            <w:tcW w:w="993" w:type="dxa"/>
            <w:shd w:val="clear" w:color="000000" w:fill="C5D9F1"/>
            <w:vAlign w:val="center"/>
          </w:tcPr>
          <w:p w:rsidR="00B31220" w:rsidRPr="006967A8" w:rsidRDefault="00B31220" w:rsidP="00D07923">
            <w:pPr>
              <w:jc w:val="center"/>
              <w:rPr>
                <w:b/>
                <w:bCs/>
                <w:color w:val="000000" w:themeColor="text1"/>
              </w:rPr>
            </w:pPr>
            <w:r w:rsidRPr="006967A8">
              <w:rPr>
                <w:b/>
                <w:bCs/>
                <w:color w:val="000000" w:themeColor="text1"/>
              </w:rPr>
              <w:t>20</w:t>
            </w:r>
            <w:r w:rsidR="00D07923" w:rsidRPr="006967A8">
              <w:rPr>
                <w:b/>
                <w:bCs/>
                <w:color w:val="000000" w:themeColor="text1"/>
              </w:rPr>
              <w:t>20</w:t>
            </w:r>
          </w:p>
        </w:tc>
        <w:tc>
          <w:tcPr>
            <w:tcW w:w="993" w:type="dxa"/>
            <w:shd w:val="clear" w:color="000000" w:fill="C5D9F1"/>
            <w:vAlign w:val="center"/>
          </w:tcPr>
          <w:p w:rsidR="00B31220" w:rsidRPr="006967A8" w:rsidRDefault="00B31220" w:rsidP="00D07923">
            <w:pPr>
              <w:jc w:val="center"/>
              <w:rPr>
                <w:b/>
                <w:bCs/>
                <w:color w:val="000000" w:themeColor="text1"/>
              </w:rPr>
            </w:pPr>
            <w:r w:rsidRPr="006967A8">
              <w:rPr>
                <w:b/>
                <w:bCs/>
                <w:color w:val="000000" w:themeColor="text1"/>
              </w:rPr>
              <w:t>20</w:t>
            </w:r>
            <w:r w:rsidR="00D07923" w:rsidRPr="006967A8">
              <w:rPr>
                <w:b/>
                <w:bCs/>
                <w:color w:val="000000" w:themeColor="text1"/>
              </w:rPr>
              <w:t>21</w:t>
            </w:r>
          </w:p>
        </w:tc>
      </w:tr>
      <w:tr w:rsidR="00B31220" w:rsidRPr="006967A8" w:rsidTr="00EC005D">
        <w:trPr>
          <w:trHeight w:val="315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B31220" w:rsidRPr="006967A8" w:rsidRDefault="00B31220" w:rsidP="005328D2">
            <w:pPr>
              <w:jc w:val="center"/>
              <w:rPr>
                <w:bCs/>
                <w:color w:val="000000" w:themeColor="text1"/>
              </w:rPr>
            </w:pPr>
            <w:r w:rsidRPr="006967A8">
              <w:rPr>
                <w:bCs/>
                <w:color w:val="000000" w:themeColor="text1"/>
              </w:rPr>
              <w:t>1.</w:t>
            </w:r>
          </w:p>
        </w:tc>
        <w:tc>
          <w:tcPr>
            <w:tcW w:w="3774" w:type="dxa"/>
            <w:shd w:val="clear" w:color="auto" w:fill="auto"/>
            <w:vAlign w:val="center"/>
            <w:hideMark/>
          </w:tcPr>
          <w:p w:rsidR="00B31220" w:rsidRPr="006967A8" w:rsidRDefault="00B31220" w:rsidP="00CF5E9B">
            <w:pPr>
              <w:rPr>
                <w:bCs/>
                <w:color w:val="000000" w:themeColor="text1"/>
              </w:rPr>
            </w:pPr>
            <w:r w:rsidRPr="006967A8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31220" w:rsidRPr="006967A8" w:rsidRDefault="00B31220" w:rsidP="00CF5E9B">
            <w:pPr>
              <w:jc w:val="center"/>
              <w:rPr>
                <w:bCs/>
                <w:color w:val="000000" w:themeColor="text1"/>
              </w:rPr>
            </w:pPr>
            <w:r w:rsidRPr="006967A8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31220" w:rsidRPr="006967A8" w:rsidRDefault="00B31220" w:rsidP="00775A77">
            <w:pPr>
              <w:jc w:val="center"/>
              <w:rPr>
                <w:bCs/>
                <w:color w:val="000000" w:themeColor="text1"/>
              </w:rPr>
            </w:pPr>
            <w:r w:rsidRPr="006967A8">
              <w:rPr>
                <w:bCs/>
                <w:color w:val="000000" w:themeColor="text1"/>
              </w:rPr>
              <w:t>7 207</w:t>
            </w:r>
          </w:p>
        </w:tc>
        <w:tc>
          <w:tcPr>
            <w:tcW w:w="992" w:type="dxa"/>
            <w:vAlign w:val="center"/>
          </w:tcPr>
          <w:p w:rsidR="00B31220" w:rsidRPr="006967A8" w:rsidRDefault="004167AC" w:rsidP="00D07923">
            <w:pPr>
              <w:jc w:val="center"/>
              <w:rPr>
                <w:bCs/>
                <w:color w:val="000000" w:themeColor="text1"/>
              </w:rPr>
            </w:pPr>
            <w:r w:rsidRPr="006967A8">
              <w:rPr>
                <w:bCs/>
                <w:color w:val="000000" w:themeColor="text1"/>
              </w:rPr>
              <w:t xml:space="preserve">2 </w:t>
            </w:r>
            <w:r w:rsidR="00D07923" w:rsidRPr="006967A8">
              <w:rPr>
                <w:bCs/>
                <w:color w:val="000000" w:themeColor="text1"/>
              </w:rPr>
              <w:t>107</w:t>
            </w:r>
          </w:p>
        </w:tc>
        <w:tc>
          <w:tcPr>
            <w:tcW w:w="993" w:type="dxa"/>
            <w:vAlign w:val="center"/>
          </w:tcPr>
          <w:p w:rsidR="00B31220" w:rsidRPr="006967A8" w:rsidRDefault="007C7709" w:rsidP="00D07923">
            <w:pPr>
              <w:jc w:val="center"/>
              <w:rPr>
                <w:bCs/>
                <w:color w:val="000000" w:themeColor="text1"/>
              </w:rPr>
            </w:pPr>
            <w:r w:rsidRPr="006967A8">
              <w:rPr>
                <w:bCs/>
                <w:color w:val="000000" w:themeColor="text1"/>
              </w:rPr>
              <w:t>84590</w:t>
            </w:r>
          </w:p>
        </w:tc>
        <w:tc>
          <w:tcPr>
            <w:tcW w:w="993" w:type="dxa"/>
            <w:vAlign w:val="center"/>
          </w:tcPr>
          <w:p w:rsidR="00B31220" w:rsidRPr="006967A8" w:rsidRDefault="007C7709" w:rsidP="00D07923">
            <w:pPr>
              <w:jc w:val="center"/>
              <w:rPr>
                <w:bCs/>
                <w:color w:val="000000" w:themeColor="text1"/>
              </w:rPr>
            </w:pPr>
            <w:r w:rsidRPr="006967A8">
              <w:rPr>
                <w:bCs/>
                <w:color w:val="000000" w:themeColor="text1"/>
              </w:rPr>
              <w:t>78730</w:t>
            </w:r>
          </w:p>
        </w:tc>
      </w:tr>
      <w:tr w:rsidR="00B31220" w:rsidRPr="006967A8" w:rsidTr="00EC005D">
        <w:trPr>
          <w:trHeight w:val="783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B31220" w:rsidRPr="006967A8" w:rsidRDefault="00B31220" w:rsidP="005328D2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>2.</w:t>
            </w:r>
          </w:p>
        </w:tc>
        <w:tc>
          <w:tcPr>
            <w:tcW w:w="3774" w:type="dxa"/>
            <w:shd w:val="clear" w:color="auto" w:fill="auto"/>
            <w:vAlign w:val="center"/>
            <w:hideMark/>
          </w:tcPr>
          <w:p w:rsidR="00B31220" w:rsidRPr="006967A8" w:rsidRDefault="00B31220" w:rsidP="00CF5E9B">
            <w:pPr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31220" w:rsidRPr="006967A8" w:rsidRDefault="00B31220" w:rsidP="00CF5E9B">
            <w:pPr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31220" w:rsidRPr="006967A8" w:rsidRDefault="00B31220" w:rsidP="005328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B31220" w:rsidRPr="006967A8" w:rsidRDefault="00B31220" w:rsidP="006D7C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B31220" w:rsidRPr="006967A8" w:rsidRDefault="00B31220" w:rsidP="006D7C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B31220" w:rsidRPr="006967A8" w:rsidRDefault="00B31220" w:rsidP="00C817E1">
            <w:pPr>
              <w:jc w:val="center"/>
              <w:rPr>
                <w:color w:val="000000" w:themeColor="text1"/>
              </w:rPr>
            </w:pPr>
          </w:p>
        </w:tc>
      </w:tr>
      <w:tr w:rsidR="00B31220" w:rsidRPr="006967A8" w:rsidTr="00EC00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3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220" w:rsidRPr="006967A8" w:rsidRDefault="00B31220" w:rsidP="005328D2">
            <w:pPr>
              <w:jc w:val="center"/>
              <w:rPr>
                <w:bCs/>
                <w:color w:val="000000" w:themeColor="text1"/>
              </w:rPr>
            </w:pPr>
            <w:r w:rsidRPr="006967A8">
              <w:rPr>
                <w:bCs/>
                <w:color w:val="000000" w:themeColor="text1"/>
              </w:rPr>
              <w:t>3</w:t>
            </w:r>
          </w:p>
        </w:tc>
        <w:tc>
          <w:tcPr>
            <w:tcW w:w="3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220" w:rsidRPr="006967A8" w:rsidRDefault="00B31220" w:rsidP="00913A3D">
            <w:pPr>
              <w:keepNext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Изменение стоимости основных средств в текущем году, возникающее в результате реализации ИП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220" w:rsidRPr="006967A8" w:rsidRDefault="00B31220" w:rsidP="00913A3D">
            <w:pPr>
              <w:keepNext/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220" w:rsidRPr="006967A8" w:rsidRDefault="00B31220" w:rsidP="00913A3D">
            <w:pPr>
              <w:keepNext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220" w:rsidRPr="006967A8" w:rsidRDefault="00B31220" w:rsidP="006D7C22">
            <w:pPr>
              <w:keepNext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220" w:rsidRPr="006967A8" w:rsidRDefault="00D07923" w:rsidP="00E9078B">
            <w:pPr>
              <w:keepNext/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>87 042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220" w:rsidRPr="006967A8" w:rsidRDefault="00D07923" w:rsidP="004167AC">
            <w:pPr>
              <w:keepNext/>
              <w:jc w:val="center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>85 583</w:t>
            </w:r>
          </w:p>
        </w:tc>
      </w:tr>
    </w:tbl>
    <w:p w:rsidR="0039035F" w:rsidRPr="006967A8" w:rsidRDefault="0039035F">
      <w:pPr>
        <w:spacing w:after="200" w:line="276" w:lineRule="auto"/>
        <w:rPr>
          <w:b/>
          <w:bCs/>
          <w:color w:val="000000" w:themeColor="text1"/>
          <w:kern w:val="32"/>
          <w:sz w:val="28"/>
          <w:szCs w:val="28"/>
        </w:rPr>
      </w:pPr>
      <w:bookmarkStart w:id="8" w:name="_Toc231645036"/>
    </w:p>
    <w:p w:rsidR="00440E18" w:rsidRPr="006967A8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_Toc309840743"/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План-график реализации инвестиционного проекта</w:t>
      </w:r>
      <w:bookmarkEnd w:id="8"/>
      <w:bookmarkEnd w:id="9"/>
    </w:p>
    <w:p w:rsidR="0039035F" w:rsidRPr="006967A8" w:rsidRDefault="0039035F" w:rsidP="0039035F">
      <w:pPr>
        <w:rPr>
          <w:color w:val="000000" w:themeColor="text1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F5E9B" w:rsidRPr="006967A8" w:rsidTr="0039035F">
        <w:tc>
          <w:tcPr>
            <w:tcW w:w="2376" w:type="dxa"/>
          </w:tcPr>
          <w:p w:rsidR="0058593D" w:rsidRPr="006967A8" w:rsidRDefault="00CF5E9B" w:rsidP="00E17230">
            <w:pPr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Сроки выполнения проекта</w:t>
            </w:r>
          </w:p>
          <w:p w:rsidR="00E17230" w:rsidRPr="006967A8" w:rsidRDefault="00E17230" w:rsidP="00E1723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2E24A6" w:rsidRPr="006967A8" w:rsidRDefault="002E24A6" w:rsidP="002E24A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Год</w:t>
            </w:r>
            <w:r w:rsidR="0067257C" w:rsidRPr="006967A8">
              <w:rPr>
                <w:color w:val="000000" w:themeColor="text1"/>
                <w:sz w:val="24"/>
                <w:szCs w:val="24"/>
              </w:rPr>
              <w:t xml:space="preserve"> начала реализации проекта </w:t>
            </w:r>
            <w:r w:rsidRPr="006967A8">
              <w:rPr>
                <w:color w:val="000000" w:themeColor="text1"/>
                <w:sz w:val="24"/>
                <w:szCs w:val="24"/>
              </w:rPr>
              <w:t>– 200</w:t>
            </w:r>
            <w:r w:rsidR="00D32133" w:rsidRPr="006967A8">
              <w:rPr>
                <w:color w:val="000000" w:themeColor="text1"/>
                <w:sz w:val="24"/>
                <w:szCs w:val="24"/>
              </w:rPr>
              <w:t>9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CF5E9B" w:rsidRPr="006967A8" w:rsidRDefault="002E24A6" w:rsidP="00D07923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Год окончания реализации проекта – 20</w:t>
            </w:r>
            <w:r w:rsidR="00D07923" w:rsidRPr="006967A8">
              <w:rPr>
                <w:color w:val="000000" w:themeColor="text1"/>
                <w:sz w:val="24"/>
                <w:szCs w:val="24"/>
              </w:rPr>
              <w:t>21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CF5E9B" w:rsidRPr="006967A8" w:rsidTr="0039035F">
        <w:tc>
          <w:tcPr>
            <w:tcW w:w="2376" w:type="dxa"/>
          </w:tcPr>
          <w:p w:rsidR="00CF5E9B" w:rsidRPr="006967A8" w:rsidRDefault="000C6664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График ввода-вывода объектов</w:t>
            </w:r>
          </w:p>
        </w:tc>
        <w:tc>
          <w:tcPr>
            <w:tcW w:w="7575" w:type="dxa"/>
          </w:tcPr>
          <w:p w:rsidR="00CF5E9B" w:rsidRPr="006967A8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Сроки ввода-вывода трансформаторной мощности представлены в таблице </w:t>
            </w:r>
            <w:r w:rsidR="0076615E" w:rsidRPr="006967A8">
              <w:rPr>
                <w:color w:val="000000" w:themeColor="text1"/>
                <w:sz w:val="24"/>
                <w:szCs w:val="24"/>
              </w:rPr>
              <w:t>3</w:t>
            </w:r>
            <w:r w:rsidRPr="006967A8">
              <w:rPr>
                <w:color w:val="000000" w:themeColor="text1"/>
                <w:sz w:val="24"/>
                <w:szCs w:val="24"/>
              </w:rPr>
              <w:t>.</w:t>
            </w:r>
          </w:p>
          <w:p w:rsidR="002E24A6" w:rsidRPr="006967A8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E24A6" w:rsidRPr="006967A8" w:rsidRDefault="002E24A6" w:rsidP="002E24A6">
            <w:pPr>
              <w:pStyle w:val="af"/>
              <w:rPr>
                <w:b/>
                <w:color w:val="000000" w:themeColor="text1"/>
              </w:rPr>
            </w:pPr>
            <w:r w:rsidRPr="006967A8">
              <w:rPr>
                <w:b/>
                <w:color w:val="000000" w:themeColor="text1"/>
              </w:rPr>
              <w:t xml:space="preserve">Таблица </w:t>
            </w:r>
            <w:r w:rsidR="0076615E" w:rsidRPr="006967A8">
              <w:rPr>
                <w:b/>
                <w:color w:val="000000" w:themeColor="text1"/>
              </w:rPr>
              <w:t>3</w:t>
            </w:r>
            <w:r w:rsidRPr="006967A8">
              <w:rPr>
                <w:b/>
                <w:color w:val="000000" w:themeColor="text1"/>
              </w:rPr>
              <w:t>. График ввода-вывода электросетевых объектов</w:t>
            </w:r>
          </w:p>
          <w:p w:rsidR="002E24A6" w:rsidRPr="006967A8" w:rsidRDefault="002E24A6" w:rsidP="002E24A6">
            <w:pPr>
              <w:rPr>
                <w:color w:val="000000" w:themeColor="text1"/>
              </w:rPr>
            </w:pPr>
          </w:p>
          <w:tbl>
            <w:tblPr>
              <w:tblStyle w:val="a9"/>
              <w:tblW w:w="6975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86"/>
              <w:gridCol w:w="950"/>
              <w:gridCol w:w="1263"/>
              <w:gridCol w:w="1276"/>
            </w:tblGrid>
            <w:tr w:rsidR="00442CDC" w:rsidRPr="006967A8" w:rsidTr="006F667D">
              <w:trPr>
                <w:trHeight w:val="20"/>
              </w:trPr>
              <w:tc>
                <w:tcPr>
                  <w:tcW w:w="3486" w:type="dxa"/>
                  <w:shd w:val="clear" w:color="auto" w:fill="C6D9F1" w:themeFill="text2" w:themeFillTint="33"/>
                  <w:vAlign w:val="center"/>
                </w:tcPr>
                <w:p w:rsidR="00442CDC" w:rsidRPr="006967A8" w:rsidRDefault="00442CDC" w:rsidP="00AC2696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6967A8">
                    <w:rPr>
                      <w:b/>
                      <w:bCs/>
                      <w:color w:val="000000" w:themeColor="text1"/>
                    </w:rPr>
                    <w:t>Наименование показателя</w:t>
                  </w:r>
                </w:p>
              </w:tc>
              <w:tc>
                <w:tcPr>
                  <w:tcW w:w="950" w:type="dxa"/>
                  <w:shd w:val="clear" w:color="auto" w:fill="C6D9F1" w:themeFill="text2" w:themeFillTint="33"/>
                  <w:vAlign w:val="center"/>
                </w:tcPr>
                <w:p w:rsidR="00442CDC" w:rsidRPr="006967A8" w:rsidRDefault="00442CDC" w:rsidP="00AC2696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6967A8">
                    <w:rPr>
                      <w:b/>
                      <w:bCs/>
                      <w:color w:val="000000" w:themeColor="text1"/>
                    </w:rPr>
                    <w:t>Ед.изм.</w:t>
                  </w:r>
                </w:p>
              </w:tc>
              <w:tc>
                <w:tcPr>
                  <w:tcW w:w="1263" w:type="dxa"/>
                  <w:shd w:val="clear" w:color="auto" w:fill="C6D9F1" w:themeFill="text2" w:themeFillTint="33"/>
                  <w:vAlign w:val="center"/>
                </w:tcPr>
                <w:p w:rsidR="00442CDC" w:rsidRPr="006967A8" w:rsidRDefault="00442CDC" w:rsidP="00D07923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6967A8">
                    <w:rPr>
                      <w:b/>
                      <w:bCs/>
                      <w:color w:val="000000" w:themeColor="text1"/>
                    </w:rPr>
                    <w:t>20</w:t>
                  </w:r>
                  <w:r w:rsidR="00D07923" w:rsidRPr="006967A8">
                    <w:rPr>
                      <w:b/>
                      <w:bCs/>
                      <w:color w:val="000000" w:themeColor="text1"/>
                    </w:rPr>
                    <w:t>20</w:t>
                  </w:r>
                </w:p>
              </w:tc>
              <w:tc>
                <w:tcPr>
                  <w:tcW w:w="1276" w:type="dxa"/>
                  <w:shd w:val="clear" w:color="auto" w:fill="C6D9F1" w:themeFill="text2" w:themeFillTint="33"/>
                </w:tcPr>
                <w:p w:rsidR="00442CDC" w:rsidRPr="006967A8" w:rsidRDefault="00442CDC" w:rsidP="00D07923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6967A8">
                    <w:rPr>
                      <w:b/>
                      <w:bCs/>
                      <w:color w:val="000000" w:themeColor="text1"/>
                    </w:rPr>
                    <w:t>20</w:t>
                  </w:r>
                  <w:r w:rsidR="00D07923" w:rsidRPr="006967A8">
                    <w:rPr>
                      <w:b/>
                      <w:bCs/>
                      <w:color w:val="000000" w:themeColor="text1"/>
                    </w:rPr>
                    <w:t>21</w:t>
                  </w:r>
                </w:p>
              </w:tc>
            </w:tr>
            <w:tr w:rsidR="006F667D" w:rsidRPr="006967A8" w:rsidTr="006F667D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6F667D" w:rsidRPr="006967A8" w:rsidRDefault="006F667D" w:rsidP="00AC2696">
                  <w:pPr>
                    <w:rPr>
                      <w:color w:val="000000" w:themeColor="text1"/>
                    </w:rPr>
                  </w:pPr>
                  <w:r w:rsidRPr="006967A8">
                    <w:rPr>
                      <w:color w:val="000000" w:themeColor="text1"/>
                    </w:rPr>
                    <w:t>Ввод новой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6F667D" w:rsidRPr="006967A8" w:rsidRDefault="006F667D" w:rsidP="00AC2696">
                  <w:pPr>
                    <w:jc w:val="center"/>
                    <w:rPr>
                      <w:color w:val="000000" w:themeColor="text1"/>
                    </w:rPr>
                  </w:pPr>
                  <w:r w:rsidRPr="006967A8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263" w:type="dxa"/>
                </w:tcPr>
                <w:p w:rsidR="006F667D" w:rsidRPr="006967A8" w:rsidRDefault="006F667D" w:rsidP="001E21C5">
                  <w:pPr>
                    <w:jc w:val="center"/>
                    <w:rPr>
                      <w:color w:val="000000" w:themeColor="text1"/>
                    </w:rPr>
                  </w:pPr>
                  <w:r w:rsidRPr="006967A8">
                    <w:rPr>
                      <w:color w:val="000000" w:themeColor="text1"/>
                    </w:rPr>
                    <w:t>1х16 МВА</w:t>
                  </w:r>
                </w:p>
              </w:tc>
              <w:tc>
                <w:tcPr>
                  <w:tcW w:w="1276" w:type="dxa"/>
                </w:tcPr>
                <w:p w:rsidR="006F667D" w:rsidRPr="006967A8" w:rsidRDefault="006F667D" w:rsidP="00C817E1">
                  <w:pPr>
                    <w:jc w:val="center"/>
                    <w:rPr>
                      <w:color w:val="000000" w:themeColor="text1"/>
                    </w:rPr>
                  </w:pPr>
                  <w:r w:rsidRPr="006967A8">
                    <w:rPr>
                      <w:color w:val="000000" w:themeColor="text1"/>
                    </w:rPr>
                    <w:t>1х16 МВА</w:t>
                  </w:r>
                </w:p>
              </w:tc>
            </w:tr>
            <w:tr w:rsidR="006F667D" w:rsidRPr="006967A8" w:rsidTr="006F667D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6F667D" w:rsidRPr="006967A8" w:rsidRDefault="006F667D" w:rsidP="00AC2696">
                  <w:pPr>
                    <w:rPr>
                      <w:color w:val="000000" w:themeColor="text1"/>
                    </w:rPr>
                  </w:pPr>
                  <w:r w:rsidRPr="006967A8">
                    <w:rPr>
                      <w:color w:val="000000" w:themeColor="text1"/>
                    </w:rPr>
                    <w:t>Вывод старой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6F667D" w:rsidRPr="006967A8" w:rsidRDefault="006F667D" w:rsidP="00AC2696">
                  <w:pPr>
                    <w:jc w:val="center"/>
                    <w:rPr>
                      <w:color w:val="000000" w:themeColor="text1"/>
                    </w:rPr>
                  </w:pPr>
                  <w:r w:rsidRPr="006967A8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263" w:type="dxa"/>
                </w:tcPr>
                <w:p w:rsidR="006F667D" w:rsidRPr="006967A8" w:rsidRDefault="006F667D" w:rsidP="001E21C5">
                  <w:pPr>
                    <w:jc w:val="center"/>
                    <w:rPr>
                      <w:color w:val="000000" w:themeColor="text1"/>
                    </w:rPr>
                  </w:pPr>
                  <w:r w:rsidRPr="006967A8">
                    <w:rPr>
                      <w:color w:val="000000" w:themeColor="text1"/>
                    </w:rPr>
                    <w:t>1х10 МВА</w:t>
                  </w:r>
                </w:p>
              </w:tc>
              <w:tc>
                <w:tcPr>
                  <w:tcW w:w="1276" w:type="dxa"/>
                </w:tcPr>
                <w:p w:rsidR="006F667D" w:rsidRPr="006967A8" w:rsidRDefault="006F667D" w:rsidP="00C817E1">
                  <w:pPr>
                    <w:jc w:val="center"/>
                    <w:rPr>
                      <w:color w:val="000000" w:themeColor="text1"/>
                    </w:rPr>
                  </w:pPr>
                  <w:r w:rsidRPr="006967A8">
                    <w:rPr>
                      <w:color w:val="000000" w:themeColor="text1"/>
                    </w:rPr>
                    <w:t>1х10 МВА</w:t>
                  </w:r>
                </w:p>
              </w:tc>
            </w:tr>
            <w:tr w:rsidR="006F667D" w:rsidRPr="006967A8" w:rsidTr="006F667D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6F667D" w:rsidRPr="006967A8" w:rsidRDefault="006F667D" w:rsidP="00AC2696">
                  <w:pPr>
                    <w:rPr>
                      <w:color w:val="000000" w:themeColor="text1"/>
                    </w:rPr>
                  </w:pPr>
                  <w:r w:rsidRPr="006967A8">
                    <w:rPr>
                      <w:color w:val="000000" w:themeColor="text1"/>
                    </w:rPr>
                    <w:t>Прирост (+)/снижение (-)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6F667D" w:rsidRPr="006967A8" w:rsidRDefault="006F667D" w:rsidP="00AC2696">
                  <w:pPr>
                    <w:jc w:val="center"/>
                    <w:rPr>
                      <w:color w:val="000000" w:themeColor="text1"/>
                    </w:rPr>
                  </w:pPr>
                  <w:r w:rsidRPr="006967A8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263" w:type="dxa"/>
                </w:tcPr>
                <w:p w:rsidR="006F667D" w:rsidRPr="006967A8" w:rsidRDefault="006F667D" w:rsidP="001E21C5">
                  <w:pPr>
                    <w:jc w:val="center"/>
                    <w:rPr>
                      <w:color w:val="000000" w:themeColor="text1"/>
                    </w:rPr>
                  </w:pPr>
                  <w:r w:rsidRPr="006967A8">
                    <w:rPr>
                      <w:color w:val="000000" w:themeColor="text1"/>
                    </w:rPr>
                    <w:t>6 МВА</w:t>
                  </w:r>
                </w:p>
              </w:tc>
              <w:tc>
                <w:tcPr>
                  <w:tcW w:w="1276" w:type="dxa"/>
                </w:tcPr>
                <w:p w:rsidR="006F667D" w:rsidRPr="006967A8" w:rsidRDefault="006F667D" w:rsidP="00C817E1">
                  <w:pPr>
                    <w:jc w:val="center"/>
                    <w:rPr>
                      <w:color w:val="000000" w:themeColor="text1"/>
                    </w:rPr>
                  </w:pPr>
                  <w:r w:rsidRPr="006967A8">
                    <w:rPr>
                      <w:color w:val="000000" w:themeColor="text1"/>
                    </w:rPr>
                    <w:t>6 МВА</w:t>
                  </w:r>
                </w:p>
              </w:tc>
            </w:tr>
          </w:tbl>
          <w:p w:rsidR="002E24A6" w:rsidRPr="006967A8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39035F" w:rsidRPr="006967A8" w:rsidRDefault="0039035F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0C6664" w:rsidRPr="006967A8" w:rsidTr="0039035F">
        <w:tc>
          <w:tcPr>
            <w:tcW w:w="2376" w:type="dxa"/>
          </w:tcPr>
          <w:p w:rsidR="000C6664" w:rsidRPr="006967A8" w:rsidRDefault="00773A2B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Укрупненный график реализации проекта</w:t>
            </w:r>
          </w:p>
        </w:tc>
        <w:tc>
          <w:tcPr>
            <w:tcW w:w="7575" w:type="dxa"/>
          </w:tcPr>
          <w:p w:rsidR="0039035F" w:rsidRPr="006967A8" w:rsidRDefault="00AF64FF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Укрупненный план-график реализации проекта </w:t>
            </w:r>
            <w:r w:rsidR="00FB504D" w:rsidRPr="006967A8">
              <w:rPr>
                <w:color w:val="000000" w:themeColor="text1"/>
                <w:sz w:val="24"/>
                <w:szCs w:val="24"/>
              </w:rPr>
              <w:t>представлен</w:t>
            </w:r>
            <w:r w:rsidR="009D6917" w:rsidRPr="006967A8">
              <w:rPr>
                <w:color w:val="000000" w:themeColor="text1"/>
                <w:sz w:val="24"/>
                <w:szCs w:val="24"/>
              </w:rPr>
              <w:t xml:space="preserve"> в таблице </w:t>
            </w:r>
            <w:r w:rsidR="0076615E" w:rsidRPr="006967A8">
              <w:rPr>
                <w:color w:val="000000" w:themeColor="text1"/>
                <w:sz w:val="24"/>
                <w:szCs w:val="24"/>
              </w:rPr>
              <w:t>4</w:t>
            </w:r>
            <w:r w:rsidR="009D6917" w:rsidRPr="006967A8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D6917" w:rsidRPr="006967A8" w:rsidRDefault="009D6917" w:rsidP="009D6917">
      <w:pPr>
        <w:pStyle w:val="af"/>
        <w:rPr>
          <w:b/>
          <w:color w:val="000000" w:themeColor="text1"/>
        </w:rPr>
      </w:pPr>
    </w:p>
    <w:p w:rsidR="00264C1E" w:rsidRPr="006967A8" w:rsidRDefault="00264C1E" w:rsidP="009D6917">
      <w:pPr>
        <w:pStyle w:val="af"/>
        <w:rPr>
          <w:b/>
          <w:color w:val="000000" w:themeColor="text1"/>
        </w:rPr>
      </w:pPr>
      <w:r w:rsidRPr="006967A8">
        <w:rPr>
          <w:b/>
          <w:color w:val="000000" w:themeColor="text1"/>
        </w:rPr>
        <w:t xml:space="preserve">Таблица </w:t>
      </w:r>
      <w:r w:rsidR="0076615E" w:rsidRPr="006967A8">
        <w:rPr>
          <w:b/>
          <w:color w:val="000000" w:themeColor="text1"/>
        </w:rPr>
        <w:t>4</w:t>
      </w:r>
      <w:r w:rsidR="009D6917" w:rsidRPr="006967A8">
        <w:rPr>
          <w:b/>
          <w:color w:val="000000" w:themeColor="text1"/>
        </w:rPr>
        <w:t>.</w:t>
      </w:r>
      <w:r w:rsidRPr="006967A8">
        <w:rPr>
          <w:b/>
          <w:color w:val="000000" w:themeColor="text1"/>
        </w:rPr>
        <w:t xml:space="preserve"> План-график реализации инвестиционного проекта</w:t>
      </w:r>
    </w:p>
    <w:p w:rsidR="009D6917" w:rsidRPr="006967A8" w:rsidRDefault="009D6917" w:rsidP="009D6917">
      <w:pPr>
        <w:rPr>
          <w:color w:val="000000" w:themeColor="text1"/>
          <w:sz w:val="20"/>
          <w:szCs w:val="20"/>
        </w:rPr>
      </w:pPr>
    </w:p>
    <w:tbl>
      <w:tblPr>
        <w:tblW w:w="37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6"/>
        <w:gridCol w:w="941"/>
        <w:gridCol w:w="992"/>
        <w:gridCol w:w="991"/>
        <w:gridCol w:w="991"/>
      </w:tblGrid>
      <w:tr w:rsidR="001C1C58" w:rsidRPr="006967A8" w:rsidTr="00D07923">
        <w:trPr>
          <w:trHeight w:val="255"/>
          <w:tblHeader/>
        </w:trPr>
        <w:tc>
          <w:tcPr>
            <w:tcW w:w="2404" w:type="pct"/>
            <w:shd w:val="clear" w:color="auto" w:fill="C6D9F1" w:themeFill="text2" w:themeFillTint="33"/>
            <w:noWrap/>
            <w:vAlign w:val="center"/>
          </w:tcPr>
          <w:p w:rsidR="00E9078B" w:rsidRPr="006967A8" w:rsidRDefault="00E9078B" w:rsidP="00700753">
            <w:pPr>
              <w:rPr>
                <w:b/>
                <w:bCs/>
                <w:color w:val="000000" w:themeColor="text1"/>
              </w:rPr>
            </w:pPr>
            <w:r w:rsidRPr="006967A8">
              <w:rPr>
                <w:b/>
                <w:bCs/>
                <w:color w:val="000000" w:themeColor="text1"/>
                <w:sz w:val="22"/>
                <w:szCs w:val="22"/>
              </w:rPr>
              <w:t>Наименование работ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E9078B" w:rsidRPr="006967A8" w:rsidRDefault="00E9078B" w:rsidP="001D7F1E">
            <w:pPr>
              <w:jc w:val="center"/>
              <w:rPr>
                <w:b/>
                <w:color w:val="000000" w:themeColor="text1"/>
              </w:rPr>
            </w:pPr>
            <w:r w:rsidRPr="006967A8">
              <w:rPr>
                <w:b/>
                <w:color w:val="000000" w:themeColor="text1"/>
              </w:rPr>
              <w:t>2009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9078B" w:rsidRPr="006967A8" w:rsidRDefault="00E9078B" w:rsidP="00B049B7">
            <w:pPr>
              <w:jc w:val="center"/>
              <w:rPr>
                <w:b/>
                <w:color w:val="000000" w:themeColor="text1"/>
              </w:rPr>
            </w:pPr>
            <w:r w:rsidRPr="006967A8">
              <w:rPr>
                <w:b/>
                <w:color w:val="000000" w:themeColor="text1"/>
              </w:rPr>
              <w:t>201</w:t>
            </w:r>
            <w:r w:rsidR="00B049B7" w:rsidRPr="006967A8">
              <w:rPr>
                <w:b/>
                <w:color w:val="000000" w:themeColor="text1"/>
              </w:rPr>
              <w:t>9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9078B" w:rsidRPr="006967A8" w:rsidRDefault="00E9078B" w:rsidP="00B049B7">
            <w:pPr>
              <w:jc w:val="center"/>
              <w:rPr>
                <w:b/>
                <w:color w:val="000000" w:themeColor="text1"/>
              </w:rPr>
            </w:pPr>
            <w:r w:rsidRPr="006967A8">
              <w:rPr>
                <w:b/>
                <w:color w:val="000000" w:themeColor="text1"/>
              </w:rPr>
              <w:t>20</w:t>
            </w:r>
            <w:r w:rsidR="00B049B7" w:rsidRPr="006967A8">
              <w:rPr>
                <w:b/>
                <w:color w:val="000000" w:themeColor="text1"/>
              </w:rPr>
              <w:t>20</w:t>
            </w:r>
          </w:p>
        </w:tc>
        <w:tc>
          <w:tcPr>
            <w:tcW w:w="658" w:type="pct"/>
            <w:shd w:val="clear" w:color="auto" w:fill="C6D9F1" w:themeFill="text2" w:themeFillTint="33"/>
            <w:vAlign w:val="center"/>
          </w:tcPr>
          <w:p w:rsidR="00E9078B" w:rsidRPr="006967A8" w:rsidRDefault="00E9078B" w:rsidP="00B049B7">
            <w:pPr>
              <w:jc w:val="center"/>
              <w:rPr>
                <w:b/>
                <w:color w:val="000000" w:themeColor="text1"/>
              </w:rPr>
            </w:pPr>
            <w:r w:rsidRPr="006967A8">
              <w:rPr>
                <w:b/>
                <w:color w:val="000000" w:themeColor="text1"/>
              </w:rPr>
              <w:t>20</w:t>
            </w:r>
            <w:r w:rsidR="00B049B7" w:rsidRPr="006967A8">
              <w:rPr>
                <w:b/>
                <w:color w:val="000000" w:themeColor="text1"/>
              </w:rPr>
              <w:t>21</w:t>
            </w:r>
          </w:p>
        </w:tc>
      </w:tr>
      <w:tr w:rsidR="00D07923" w:rsidRPr="006967A8" w:rsidTr="00D07923">
        <w:trPr>
          <w:trHeight w:val="255"/>
        </w:trPr>
        <w:tc>
          <w:tcPr>
            <w:tcW w:w="2404" w:type="pct"/>
            <w:shd w:val="clear" w:color="auto" w:fill="auto"/>
            <w:noWrap/>
            <w:vAlign w:val="center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Начало реализации проекта</w:t>
            </w:r>
          </w:p>
        </w:tc>
        <w:tc>
          <w:tcPr>
            <w:tcW w:w="624" w:type="pct"/>
            <w:shd w:val="clear" w:color="auto" w:fill="548DD4" w:themeFill="text2" w:themeFillTint="99"/>
          </w:tcPr>
          <w:p w:rsidR="00D07923" w:rsidRPr="006967A8" w:rsidRDefault="00D07923" w:rsidP="001E21C5">
            <w:pPr>
              <w:rPr>
                <w:color w:val="000000" w:themeColor="text1"/>
              </w:rPr>
            </w:pPr>
          </w:p>
        </w:tc>
        <w:tc>
          <w:tcPr>
            <w:tcW w:w="658" w:type="pct"/>
            <w:shd w:val="clear" w:color="auto" w:fill="auto"/>
            <w:noWrap/>
          </w:tcPr>
          <w:p w:rsidR="00D07923" w:rsidRPr="006967A8" w:rsidRDefault="00D07923" w:rsidP="008A0D42">
            <w:pPr>
              <w:rPr>
                <w:color w:val="000000" w:themeColor="text1"/>
              </w:rPr>
            </w:pPr>
          </w:p>
        </w:tc>
        <w:tc>
          <w:tcPr>
            <w:tcW w:w="657" w:type="pct"/>
            <w:shd w:val="clear" w:color="auto" w:fill="auto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  <w:tc>
          <w:tcPr>
            <w:tcW w:w="658" w:type="pct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</w:tr>
      <w:tr w:rsidR="00D07923" w:rsidRPr="006967A8" w:rsidTr="00D07923">
        <w:trPr>
          <w:trHeight w:val="255"/>
        </w:trPr>
        <w:tc>
          <w:tcPr>
            <w:tcW w:w="2404" w:type="pct"/>
            <w:shd w:val="clear" w:color="auto" w:fill="auto"/>
            <w:noWrap/>
            <w:vAlign w:val="center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624" w:type="pct"/>
            <w:shd w:val="clear" w:color="auto" w:fill="548DD4" w:themeFill="text2" w:themeFillTint="99"/>
          </w:tcPr>
          <w:p w:rsidR="00D07923" w:rsidRPr="006967A8" w:rsidRDefault="00D07923" w:rsidP="001E21C5">
            <w:pPr>
              <w:rPr>
                <w:color w:val="000000" w:themeColor="text1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548DD4" w:themeFill="text2" w:themeFillTint="99"/>
            <w:noWrap/>
          </w:tcPr>
          <w:p w:rsidR="00D07923" w:rsidRPr="006967A8" w:rsidRDefault="00D07923" w:rsidP="008A0D42">
            <w:pPr>
              <w:rPr>
                <w:color w:val="000000" w:themeColor="text1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</w:tr>
      <w:tr w:rsidR="00D07923" w:rsidRPr="006967A8" w:rsidTr="00D07923">
        <w:trPr>
          <w:trHeight w:val="255"/>
        </w:trPr>
        <w:tc>
          <w:tcPr>
            <w:tcW w:w="2404" w:type="pct"/>
            <w:shd w:val="clear" w:color="auto" w:fill="auto"/>
            <w:noWrap/>
            <w:vAlign w:val="center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Закупка оборудования</w:t>
            </w:r>
          </w:p>
        </w:tc>
        <w:tc>
          <w:tcPr>
            <w:tcW w:w="624" w:type="pct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</w:p>
        </w:tc>
        <w:tc>
          <w:tcPr>
            <w:tcW w:w="658" w:type="pct"/>
            <w:shd w:val="clear" w:color="auto" w:fill="auto"/>
            <w:noWrap/>
          </w:tcPr>
          <w:p w:rsidR="00D07923" w:rsidRPr="006967A8" w:rsidRDefault="00D07923" w:rsidP="008A0D42">
            <w:pPr>
              <w:rPr>
                <w:color w:val="000000" w:themeColor="text1"/>
              </w:rPr>
            </w:pPr>
          </w:p>
        </w:tc>
        <w:tc>
          <w:tcPr>
            <w:tcW w:w="657" w:type="pct"/>
            <w:shd w:val="clear" w:color="auto" w:fill="548DD4" w:themeFill="text2" w:themeFillTint="99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  <w:tc>
          <w:tcPr>
            <w:tcW w:w="658" w:type="pct"/>
            <w:shd w:val="clear" w:color="auto" w:fill="548DD4" w:themeFill="text2" w:themeFillTint="99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</w:tr>
      <w:tr w:rsidR="00D07923" w:rsidRPr="006967A8" w:rsidTr="00D07923">
        <w:trPr>
          <w:trHeight w:val="255"/>
        </w:trPr>
        <w:tc>
          <w:tcPr>
            <w:tcW w:w="2404" w:type="pct"/>
            <w:shd w:val="clear" w:color="auto" w:fill="auto"/>
            <w:noWrap/>
            <w:vAlign w:val="center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Поставка оборудования</w:t>
            </w:r>
          </w:p>
        </w:tc>
        <w:tc>
          <w:tcPr>
            <w:tcW w:w="624" w:type="pct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D07923" w:rsidRPr="006967A8" w:rsidRDefault="00D07923" w:rsidP="008A0D42">
            <w:pPr>
              <w:rPr>
                <w:color w:val="000000" w:themeColor="text1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</w:tr>
      <w:tr w:rsidR="00D07923" w:rsidRPr="006967A8" w:rsidTr="00D07923">
        <w:trPr>
          <w:trHeight w:val="255"/>
        </w:trPr>
        <w:tc>
          <w:tcPr>
            <w:tcW w:w="2404" w:type="pct"/>
            <w:shd w:val="clear" w:color="auto" w:fill="auto"/>
            <w:noWrap/>
            <w:vAlign w:val="center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Строительные работы</w:t>
            </w:r>
          </w:p>
        </w:tc>
        <w:tc>
          <w:tcPr>
            <w:tcW w:w="624" w:type="pct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D07923" w:rsidRPr="006967A8" w:rsidRDefault="00D07923" w:rsidP="008A0D42">
            <w:pPr>
              <w:rPr>
                <w:color w:val="000000" w:themeColor="text1"/>
              </w:rPr>
            </w:pPr>
          </w:p>
        </w:tc>
        <w:tc>
          <w:tcPr>
            <w:tcW w:w="657" w:type="pct"/>
            <w:shd w:val="clear" w:color="auto" w:fill="548DD4" w:themeFill="text2" w:themeFillTint="99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  <w:tc>
          <w:tcPr>
            <w:tcW w:w="658" w:type="pct"/>
            <w:shd w:val="clear" w:color="auto" w:fill="548DD4" w:themeFill="text2" w:themeFillTint="99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</w:tr>
      <w:tr w:rsidR="00D07923" w:rsidRPr="006967A8" w:rsidTr="00D07923">
        <w:trPr>
          <w:trHeight w:val="255"/>
        </w:trPr>
        <w:tc>
          <w:tcPr>
            <w:tcW w:w="2404" w:type="pct"/>
            <w:shd w:val="clear" w:color="auto" w:fill="auto"/>
            <w:noWrap/>
            <w:vAlign w:val="center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Монтажные работы</w:t>
            </w:r>
          </w:p>
        </w:tc>
        <w:tc>
          <w:tcPr>
            <w:tcW w:w="624" w:type="pct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D07923" w:rsidRPr="006967A8" w:rsidRDefault="00D07923" w:rsidP="008A0D42">
            <w:pPr>
              <w:rPr>
                <w:color w:val="000000" w:themeColor="text1"/>
              </w:rPr>
            </w:pPr>
          </w:p>
        </w:tc>
        <w:tc>
          <w:tcPr>
            <w:tcW w:w="657" w:type="pct"/>
            <w:shd w:val="clear" w:color="auto" w:fill="548DD4" w:themeFill="text2" w:themeFillTint="99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  <w:tc>
          <w:tcPr>
            <w:tcW w:w="658" w:type="pct"/>
            <w:shd w:val="clear" w:color="auto" w:fill="548DD4" w:themeFill="text2" w:themeFillTint="99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</w:tr>
      <w:tr w:rsidR="00D07923" w:rsidRPr="006967A8" w:rsidTr="00D07923">
        <w:trPr>
          <w:trHeight w:val="255"/>
        </w:trPr>
        <w:tc>
          <w:tcPr>
            <w:tcW w:w="2404" w:type="pct"/>
            <w:shd w:val="clear" w:color="auto" w:fill="auto"/>
            <w:noWrap/>
            <w:vAlign w:val="center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624" w:type="pct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</w:p>
        </w:tc>
        <w:tc>
          <w:tcPr>
            <w:tcW w:w="658" w:type="pct"/>
            <w:shd w:val="clear" w:color="auto" w:fill="auto"/>
            <w:noWrap/>
          </w:tcPr>
          <w:p w:rsidR="00D07923" w:rsidRPr="006967A8" w:rsidRDefault="00D07923" w:rsidP="008A0D42">
            <w:pPr>
              <w:rPr>
                <w:color w:val="000000" w:themeColor="text1"/>
              </w:rPr>
            </w:pPr>
          </w:p>
        </w:tc>
        <w:tc>
          <w:tcPr>
            <w:tcW w:w="657" w:type="pct"/>
            <w:shd w:val="clear" w:color="auto" w:fill="548DD4" w:themeFill="text2" w:themeFillTint="99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  <w:tc>
          <w:tcPr>
            <w:tcW w:w="658" w:type="pct"/>
            <w:shd w:val="clear" w:color="auto" w:fill="548DD4" w:themeFill="text2" w:themeFillTint="99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</w:tr>
      <w:tr w:rsidR="00D07923" w:rsidRPr="006967A8" w:rsidTr="00D07923">
        <w:trPr>
          <w:trHeight w:val="255"/>
        </w:trPr>
        <w:tc>
          <w:tcPr>
            <w:tcW w:w="2404" w:type="pct"/>
            <w:shd w:val="clear" w:color="auto" w:fill="auto"/>
            <w:noWrap/>
            <w:vAlign w:val="center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2"/>
                <w:szCs w:val="22"/>
              </w:rPr>
              <w:t>Ввод в эксплуатацию</w:t>
            </w:r>
          </w:p>
        </w:tc>
        <w:tc>
          <w:tcPr>
            <w:tcW w:w="624" w:type="pct"/>
          </w:tcPr>
          <w:p w:rsidR="00D07923" w:rsidRPr="006967A8" w:rsidRDefault="00D07923" w:rsidP="00700753">
            <w:pPr>
              <w:rPr>
                <w:color w:val="000000" w:themeColor="text1"/>
              </w:rPr>
            </w:pPr>
          </w:p>
        </w:tc>
        <w:tc>
          <w:tcPr>
            <w:tcW w:w="658" w:type="pct"/>
            <w:shd w:val="clear" w:color="auto" w:fill="auto"/>
            <w:noWrap/>
          </w:tcPr>
          <w:p w:rsidR="00D07923" w:rsidRPr="006967A8" w:rsidRDefault="00D07923" w:rsidP="008A0D42">
            <w:pPr>
              <w:rPr>
                <w:color w:val="000000" w:themeColor="text1"/>
              </w:rPr>
            </w:pPr>
          </w:p>
        </w:tc>
        <w:tc>
          <w:tcPr>
            <w:tcW w:w="657" w:type="pct"/>
            <w:shd w:val="clear" w:color="auto" w:fill="548DD4" w:themeFill="text2" w:themeFillTint="99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  <w:tc>
          <w:tcPr>
            <w:tcW w:w="658" w:type="pct"/>
            <w:shd w:val="clear" w:color="auto" w:fill="548DD4" w:themeFill="text2" w:themeFillTint="99"/>
            <w:vAlign w:val="center"/>
          </w:tcPr>
          <w:p w:rsidR="00D07923" w:rsidRPr="006967A8" w:rsidRDefault="00D07923" w:rsidP="006D7C22">
            <w:pPr>
              <w:rPr>
                <w:color w:val="000000" w:themeColor="text1"/>
              </w:rPr>
            </w:pPr>
          </w:p>
        </w:tc>
      </w:tr>
    </w:tbl>
    <w:p w:rsidR="0039035F" w:rsidRPr="006967A8" w:rsidRDefault="0039035F" w:rsidP="004A6AF0">
      <w:pPr>
        <w:rPr>
          <w:b/>
          <w:bCs/>
          <w:color w:val="000000" w:themeColor="text1"/>
          <w:kern w:val="32"/>
          <w:sz w:val="2"/>
          <w:szCs w:val="2"/>
        </w:rPr>
      </w:pPr>
      <w:bookmarkStart w:id="10" w:name="_Toc231645037"/>
    </w:p>
    <w:p w:rsidR="00C80F73" w:rsidRPr="006967A8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6967A8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6967A8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6967A8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AF0E9F" w:rsidRPr="006967A8" w:rsidRDefault="00AF0E9F" w:rsidP="00AF0E9F">
      <w:pPr>
        <w:rPr>
          <w:color w:val="000000" w:themeColor="text1"/>
        </w:rPr>
      </w:pPr>
      <w:bookmarkStart w:id="11" w:name="_Toc309840744"/>
    </w:p>
    <w:p w:rsidR="00440E18" w:rsidRPr="006967A8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Маркетинговая информация</w:t>
      </w:r>
      <w:bookmarkEnd w:id="10"/>
      <w:bookmarkEnd w:id="11"/>
    </w:p>
    <w:p w:rsidR="0039035F" w:rsidRPr="006967A8" w:rsidRDefault="0039035F" w:rsidP="0039035F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636BE7" w:rsidRPr="006967A8" w:rsidTr="0039035F">
        <w:tc>
          <w:tcPr>
            <w:tcW w:w="2376" w:type="dxa"/>
          </w:tcPr>
          <w:p w:rsidR="00636BE7" w:rsidRPr="006967A8" w:rsidRDefault="004F4697" w:rsidP="0039035F">
            <w:pPr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Анализ существующего рынка сбыта в зоне реализации проекта</w:t>
            </w:r>
          </w:p>
        </w:tc>
        <w:tc>
          <w:tcPr>
            <w:tcW w:w="7575" w:type="dxa"/>
          </w:tcPr>
          <w:p w:rsidR="0005539A" w:rsidRPr="006967A8" w:rsidRDefault="0005539A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Объем полезного отпуска электроэнергии и его ежегодное увеличение гарантировано на весь проектный период эксплуатации подстанции.</w:t>
            </w:r>
          </w:p>
          <w:p w:rsidR="0005539A" w:rsidRPr="006967A8" w:rsidRDefault="0005539A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76615E" w:rsidRPr="006967A8" w:rsidRDefault="005638E6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По состоянию на 01/0</w:t>
            </w:r>
            <w:r w:rsidR="00AA1487" w:rsidRPr="006967A8">
              <w:rPr>
                <w:color w:val="000000" w:themeColor="text1"/>
                <w:sz w:val="24"/>
                <w:szCs w:val="24"/>
              </w:rPr>
              <w:t>1</w:t>
            </w:r>
            <w:r w:rsidRPr="006967A8">
              <w:rPr>
                <w:color w:val="000000" w:themeColor="text1"/>
                <w:sz w:val="24"/>
                <w:szCs w:val="24"/>
              </w:rPr>
              <w:t>/201</w:t>
            </w:r>
            <w:r w:rsidR="00AA1487" w:rsidRPr="006967A8">
              <w:rPr>
                <w:color w:val="000000" w:themeColor="text1"/>
                <w:sz w:val="24"/>
                <w:szCs w:val="24"/>
              </w:rPr>
              <w:t>4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максимальная фактическая нагрузка трансформаторов составляет 12,1 МВА (11,132 МВт). </w:t>
            </w:r>
          </w:p>
          <w:p w:rsidR="005638E6" w:rsidRPr="006967A8" w:rsidRDefault="005638E6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76615E" w:rsidRPr="006967A8" w:rsidRDefault="0076615E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Максимально допустимая нагрузка в режиме N-1 и с учетом резерва по электросетям 6-15 кВ  устанавливаемых трансформаторов мощностью              </w:t>
            </w:r>
            <w:r w:rsidR="00B27B7C" w:rsidRPr="006967A8">
              <w:rPr>
                <w:color w:val="000000" w:themeColor="text1"/>
                <w:sz w:val="24"/>
                <w:szCs w:val="24"/>
              </w:rPr>
              <w:t>16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МВА рассчитывается:</w:t>
            </w:r>
          </w:p>
          <w:p w:rsidR="0076615E" w:rsidRPr="006967A8" w:rsidRDefault="00105FA9" w:rsidP="0076615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6967A8">
              <w:rPr>
                <w:color w:val="000000" w:themeColor="text1"/>
                <w:position w:val="-12"/>
                <w:sz w:val="24"/>
                <w:szCs w:val="24"/>
              </w:rPr>
              <w:object w:dxaOrig="71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6.4pt;height:18.6pt" o:ole="">
                  <v:imagedata r:id="rId8" o:title=""/>
                </v:shape>
                <o:OLEObject Type="Embed" ProgID="Equation.3" ShapeID="_x0000_i1025" DrawAspect="Content" ObjectID="_1517920534" r:id="rId9"/>
              </w:object>
            </w:r>
          </w:p>
          <w:p w:rsidR="0039530C" w:rsidRPr="006967A8" w:rsidRDefault="0039530C" w:rsidP="0039530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0,92 – cos </w:t>
            </w:r>
            <w:r w:rsidRPr="006967A8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6967A8">
              <w:rPr>
                <w:color w:val="000000" w:themeColor="text1"/>
                <w:sz w:val="24"/>
                <w:szCs w:val="24"/>
              </w:rPr>
              <w:t>; перевод 1 кВА в 1 кВт производится по формуле:</w:t>
            </w:r>
          </w:p>
          <w:p w:rsidR="0039530C" w:rsidRPr="006967A8" w:rsidRDefault="0039530C" w:rsidP="0039530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кВА*cos </w:t>
            </w:r>
            <w:r w:rsidRPr="006967A8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= кВт.</w:t>
            </w:r>
          </w:p>
          <w:p w:rsidR="0076615E" w:rsidRPr="006967A8" w:rsidRDefault="0076615E" w:rsidP="00DF2F6E">
            <w:pPr>
              <w:ind w:firstLine="72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D02C17" w:rsidRPr="006967A8" w:rsidRDefault="003D462F" w:rsidP="0076615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У</w:t>
            </w:r>
            <w:r w:rsidR="0051396D" w:rsidRPr="006967A8">
              <w:rPr>
                <w:color w:val="000000" w:themeColor="text1"/>
                <w:sz w:val="24"/>
                <w:szCs w:val="24"/>
              </w:rPr>
              <w:t xml:space="preserve">величение полезного отпуска электроэнергии </w:t>
            </w:r>
            <w:r w:rsidRPr="006967A8">
              <w:rPr>
                <w:color w:val="000000" w:themeColor="text1"/>
                <w:sz w:val="24"/>
                <w:szCs w:val="24"/>
              </w:rPr>
              <w:t>предполагается от подключения нагрузки по действующим договорам технологического присоединения и поданным заявкам, увеличения потребляемой мощности существующих потребителей и от перспективного присоединения потребителей в связи с прогнозируемым спросом.</w:t>
            </w:r>
          </w:p>
          <w:p w:rsidR="00D02C17" w:rsidRPr="006967A8" w:rsidRDefault="00D02C17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DF2F6E" w:rsidRPr="006967A8" w:rsidRDefault="00DF2F6E" w:rsidP="00DF2F6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6967A8">
              <w:rPr>
                <w:color w:val="000000" w:themeColor="text1"/>
                <w:sz w:val="26"/>
                <w:szCs w:val="26"/>
              </w:rPr>
              <w:t>План загрузки подстанции:</w:t>
            </w:r>
          </w:p>
          <w:tbl>
            <w:tblPr>
              <w:tblW w:w="31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931"/>
              <w:gridCol w:w="931"/>
            </w:tblGrid>
            <w:tr w:rsidR="00E9078B" w:rsidRPr="006967A8" w:rsidTr="00E9078B">
              <w:trPr>
                <w:trHeight w:val="261"/>
              </w:trPr>
              <w:tc>
                <w:tcPr>
                  <w:tcW w:w="1238" w:type="dxa"/>
                  <w:shd w:val="clear" w:color="auto" w:fill="auto"/>
                </w:tcPr>
                <w:p w:rsidR="00E9078B" w:rsidRPr="006967A8" w:rsidRDefault="00E9078B" w:rsidP="00AC269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6967A8">
                    <w:rPr>
                      <w:color w:val="000000" w:themeColor="text1"/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931" w:type="dxa"/>
                </w:tcPr>
                <w:p w:rsidR="00E9078B" w:rsidRPr="006967A8" w:rsidRDefault="00E9078B" w:rsidP="001551B8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6967A8">
                    <w:rPr>
                      <w:color w:val="000000" w:themeColor="text1"/>
                      <w:sz w:val="26"/>
                      <w:szCs w:val="26"/>
                    </w:rPr>
                    <w:t>2009</w:t>
                  </w:r>
                </w:p>
              </w:tc>
              <w:tc>
                <w:tcPr>
                  <w:tcW w:w="931" w:type="dxa"/>
                </w:tcPr>
                <w:p w:rsidR="00E9078B" w:rsidRPr="006967A8" w:rsidRDefault="00E9078B" w:rsidP="007D2A10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6967A8">
                    <w:rPr>
                      <w:color w:val="000000" w:themeColor="text1"/>
                      <w:sz w:val="26"/>
                      <w:szCs w:val="26"/>
                    </w:rPr>
                    <w:t>20</w:t>
                  </w:r>
                  <w:r w:rsidR="00B049B7" w:rsidRPr="006967A8">
                    <w:rPr>
                      <w:color w:val="000000" w:themeColor="text1"/>
                      <w:sz w:val="26"/>
                      <w:szCs w:val="26"/>
                    </w:rPr>
                    <w:t>2</w:t>
                  </w:r>
                  <w:r w:rsidR="007D2A10" w:rsidRPr="006967A8">
                    <w:rPr>
                      <w:color w:val="000000" w:themeColor="text1"/>
                      <w:sz w:val="26"/>
                      <w:szCs w:val="26"/>
                    </w:rPr>
                    <w:t>1</w:t>
                  </w:r>
                </w:p>
              </w:tc>
            </w:tr>
            <w:tr w:rsidR="00E9078B" w:rsidRPr="006967A8" w:rsidTr="00E9078B">
              <w:trPr>
                <w:trHeight w:val="545"/>
              </w:trPr>
              <w:tc>
                <w:tcPr>
                  <w:tcW w:w="1238" w:type="dxa"/>
                  <w:shd w:val="clear" w:color="auto" w:fill="auto"/>
                </w:tcPr>
                <w:p w:rsidR="00E9078B" w:rsidRPr="006967A8" w:rsidRDefault="00E9078B" w:rsidP="00AC269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6967A8">
                    <w:rPr>
                      <w:color w:val="000000" w:themeColor="text1"/>
                      <w:sz w:val="26"/>
                      <w:szCs w:val="26"/>
                    </w:rPr>
                    <w:t>Загрузка, МВт</w:t>
                  </w:r>
                </w:p>
              </w:tc>
              <w:tc>
                <w:tcPr>
                  <w:tcW w:w="931" w:type="dxa"/>
                </w:tcPr>
                <w:p w:rsidR="00E9078B" w:rsidRPr="006967A8" w:rsidRDefault="001551B8" w:rsidP="001551B8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6967A8">
                    <w:rPr>
                      <w:color w:val="000000" w:themeColor="text1"/>
                      <w:sz w:val="26"/>
                      <w:szCs w:val="26"/>
                    </w:rPr>
                    <w:t>11,132</w:t>
                  </w:r>
                </w:p>
              </w:tc>
              <w:tc>
                <w:tcPr>
                  <w:tcW w:w="931" w:type="dxa"/>
                </w:tcPr>
                <w:p w:rsidR="00E9078B" w:rsidRPr="006967A8" w:rsidRDefault="00E9078B" w:rsidP="00E9078B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6967A8">
                    <w:rPr>
                      <w:color w:val="000000" w:themeColor="text1"/>
                      <w:sz w:val="26"/>
                      <w:szCs w:val="26"/>
                    </w:rPr>
                    <w:t>15,456</w:t>
                  </w:r>
                </w:p>
                <w:p w:rsidR="00E9078B" w:rsidRPr="006967A8" w:rsidRDefault="00E9078B" w:rsidP="00E9078B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</w:tbl>
          <w:p w:rsidR="0039035F" w:rsidRPr="006967A8" w:rsidRDefault="0039035F" w:rsidP="00807F0B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36BE7" w:rsidRPr="006967A8" w:rsidTr="0039035F">
        <w:tc>
          <w:tcPr>
            <w:tcW w:w="2376" w:type="dxa"/>
          </w:tcPr>
          <w:p w:rsidR="0002171F" w:rsidRPr="006967A8" w:rsidRDefault="0002171F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36BE7" w:rsidRPr="006967A8" w:rsidRDefault="00802E49" w:rsidP="00802E49">
            <w:pPr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Прогноз рынка сбыта</w:t>
            </w:r>
            <w:r w:rsidR="00F870B2" w:rsidRPr="006967A8">
              <w:rPr>
                <w:b/>
                <w:color w:val="000000" w:themeColor="text1"/>
                <w:sz w:val="24"/>
                <w:szCs w:val="24"/>
              </w:rPr>
              <w:t xml:space="preserve"> в зоне реализации проекта</w:t>
            </w:r>
          </w:p>
        </w:tc>
        <w:tc>
          <w:tcPr>
            <w:tcW w:w="7575" w:type="dxa"/>
          </w:tcPr>
          <w:p w:rsidR="0039035F" w:rsidRPr="006967A8" w:rsidRDefault="0039035F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F70534" w:rsidRPr="006967A8" w:rsidRDefault="002566A7" w:rsidP="005638E6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По состоянию на </w:t>
            </w:r>
            <w:r w:rsidR="005638E6" w:rsidRPr="006967A8">
              <w:rPr>
                <w:color w:val="000000" w:themeColor="text1"/>
                <w:sz w:val="24"/>
                <w:szCs w:val="24"/>
              </w:rPr>
              <w:t>01/0</w:t>
            </w:r>
            <w:r w:rsidR="00AA1487" w:rsidRPr="006967A8">
              <w:rPr>
                <w:color w:val="000000" w:themeColor="text1"/>
                <w:sz w:val="24"/>
                <w:szCs w:val="24"/>
              </w:rPr>
              <w:t>6</w:t>
            </w:r>
            <w:r w:rsidR="005638E6" w:rsidRPr="006967A8">
              <w:rPr>
                <w:color w:val="000000" w:themeColor="text1"/>
                <w:sz w:val="24"/>
                <w:szCs w:val="24"/>
              </w:rPr>
              <w:t>/201</w:t>
            </w:r>
            <w:r w:rsidR="00AA1487" w:rsidRPr="006967A8">
              <w:rPr>
                <w:color w:val="000000" w:themeColor="text1"/>
                <w:sz w:val="24"/>
                <w:szCs w:val="24"/>
              </w:rPr>
              <w:t>4</w:t>
            </w:r>
            <w:r w:rsidR="00F70534" w:rsidRPr="006967A8">
              <w:rPr>
                <w:color w:val="000000" w:themeColor="text1"/>
                <w:sz w:val="24"/>
                <w:szCs w:val="24"/>
              </w:rPr>
              <w:t>:</w:t>
            </w:r>
          </w:p>
          <w:p w:rsidR="005638E6" w:rsidRPr="006967A8" w:rsidRDefault="005638E6" w:rsidP="005638E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Мощность по действующим договорам на технологическое присоединение по состоянию на составляет </w:t>
            </w:r>
            <w:r w:rsidR="00AA1487" w:rsidRPr="006967A8">
              <w:rPr>
                <w:color w:val="000000" w:themeColor="text1"/>
                <w:sz w:val="24"/>
                <w:szCs w:val="24"/>
              </w:rPr>
              <w:t>13,30 МВА (12,236 МВт).</w:t>
            </w:r>
          </w:p>
          <w:p w:rsidR="009C76DF" w:rsidRPr="006967A8" w:rsidRDefault="000156B9" w:rsidP="005638E6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В качестве обосновывающего документа к бизнес-плану представлен п</w:t>
            </w:r>
            <w:r w:rsidR="007E7C41" w:rsidRPr="006967A8">
              <w:rPr>
                <w:color w:val="000000" w:themeColor="text1"/>
                <w:sz w:val="24"/>
                <w:szCs w:val="24"/>
              </w:rPr>
              <w:t xml:space="preserve">еречень </w:t>
            </w:r>
            <w:r w:rsidR="00FA442C" w:rsidRPr="006967A8">
              <w:rPr>
                <w:color w:val="000000" w:themeColor="text1"/>
                <w:sz w:val="24"/>
                <w:szCs w:val="24"/>
              </w:rPr>
              <w:t>договоров на технологическое п</w:t>
            </w:r>
            <w:r w:rsidRPr="006967A8">
              <w:rPr>
                <w:color w:val="000000" w:themeColor="text1"/>
                <w:sz w:val="24"/>
                <w:szCs w:val="24"/>
              </w:rPr>
              <w:t>рисоединение</w:t>
            </w:r>
            <w:r w:rsidR="002566A7" w:rsidRPr="006967A8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FF1F88" w:rsidRPr="006967A8" w:rsidRDefault="00FF1F88" w:rsidP="00FF1F88">
      <w:pPr>
        <w:rPr>
          <w:color w:val="000000" w:themeColor="text1"/>
          <w:kern w:val="32"/>
        </w:rPr>
      </w:pPr>
      <w:bookmarkStart w:id="12" w:name="_Toc231645038"/>
    </w:p>
    <w:p w:rsidR="00440E18" w:rsidRPr="006967A8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_Toc309840745"/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финансирования проекта</w:t>
      </w:r>
      <w:bookmarkEnd w:id="12"/>
      <w:bookmarkEnd w:id="13"/>
    </w:p>
    <w:p w:rsidR="00705072" w:rsidRPr="006967A8" w:rsidRDefault="00705072" w:rsidP="007050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753D58" w:rsidRPr="006967A8" w:rsidTr="0039035F">
        <w:tc>
          <w:tcPr>
            <w:tcW w:w="2376" w:type="dxa"/>
          </w:tcPr>
          <w:p w:rsidR="00753D58" w:rsidRPr="006967A8" w:rsidRDefault="00753D58" w:rsidP="001D4BB9">
            <w:pPr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75" w:type="dxa"/>
          </w:tcPr>
          <w:p w:rsidR="007201E7" w:rsidRPr="006967A8" w:rsidRDefault="009A40F7" w:rsidP="00E545C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Реконструкцию</w:t>
            </w:r>
            <w:r w:rsidR="007201E7" w:rsidRPr="006967A8">
              <w:rPr>
                <w:color w:val="000000" w:themeColor="text1"/>
                <w:sz w:val="24"/>
                <w:szCs w:val="24"/>
              </w:rPr>
              <w:t xml:space="preserve"> объекта в 201</w:t>
            </w:r>
            <w:r w:rsidR="00B049B7" w:rsidRPr="006967A8">
              <w:rPr>
                <w:color w:val="000000" w:themeColor="text1"/>
                <w:sz w:val="24"/>
                <w:szCs w:val="24"/>
              </w:rPr>
              <w:t>9-2021</w:t>
            </w:r>
            <w:r w:rsidR="007201E7"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967A8">
              <w:rPr>
                <w:color w:val="000000" w:themeColor="text1"/>
                <w:sz w:val="24"/>
                <w:szCs w:val="24"/>
              </w:rPr>
              <w:t>гг.</w:t>
            </w:r>
            <w:r w:rsidR="007201E7" w:rsidRPr="006967A8">
              <w:rPr>
                <w:color w:val="000000" w:themeColor="text1"/>
                <w:sz w:val="24"/>
                <w:szCs w:val="24"/>
              </w:rPr>
              <w:t xml:space="preserve"> планируется осуществить за счет </w:t>
            </w:r>
            <w:r w:rsidR="003076AF" w:rsidRPr="006967A8">
              <w:rPr>
                <w:color w:val="000000" w:themeColor="text1"/>
                <w:sz w:val="24"/>
                <w:szCs w:val="24"/>
              </w:rPr>
              <w:t>амортизационных отчислений</w:t>
            </w:r>
            <w:r w:rsidR="007201E7" w:rsidRPr="006967A8">
              <w:rPr>
                <w:color w:val="000000" w:themeColor="text1"/>
                <w:sz w:val="24"/>
                <w:szCs w:val="24"/>
              </w:rPr>
              <w:t>.</w:t>
            </w:r>
          </w:p>
          <w:p w:rsidR="00D42FC6" w:rsidRPr="006967A8" w:rsidRDefault="00D42FC6" w:rsidP="003A6379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B7FD3" w:rsidRPr="006967A8" w:rsidRDefault="00B370BC" w:rsidP="007B7FD3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_Toc293590195"/>
      <w:bookmarkStart w:id="15" w:name="_Toc309840746"/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7FD3"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оказатели операционной деятельности</w:t>
      </w:r>
      <w:bookmarkEnd w:id="14"/>
      <w:bookmarkEnd w:id="15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4"/>
        <w:gridCol w:w="7853"/>
      </w:tblGrid>
      <w:tr w:rsidR="006A4C1A" w:rsidRPr="006967A8" w:rsidTr="00B2528B">
        <w:tc>
          <w:tcPr>
            <w:tcW w:w="2146" w:type="dxa"/>
          </w:tcPr>
          <w:p w:rsidR="007B0F71" w:rsidRPr="006967A8" w:rsidRDefault="007B0F71" w:rsidP="002666E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39035F" w:rsidRPr="006967A8" w:rsidRDefault="0039035F" w:rsidP="002666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6A4C1A" w:rsidRPr="006967A8" w:rsidTr="00B2528B">
        <w:tc>
          <w:tcPr>
            <w:tcW w:w="2146" w:type="dxa"/>
          </w:tcPr>
          <w:p w:rsidR="00DB399E" w:rsidRPr="006967A8" w:rsidRDefault="00DB399E" w:rsidP="007B7FD3">
            <w:pPr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 xml:space="preserve">Тарифы </w:t>
            </w:r>
            <w:r w:rsidR="007B7FD3" w:rsidRPr="006967A8">
              <w:rPr>
                <w:b/>
                <w:color w:val="000000" w:themeColor="text1"/>
                <w:sz w:val="24"/>
                <w:szCs w:val="24"/>
              </w:rPr>
              <w:t>на услуги по передаче электрической энергии и размер платы за присоединение к электрическим сетям</w:t>
            </w:r>
          </w:p>
        </w:tc>
        <w:tc>
          <w:tcPr>
            <w:tcW w:w="7831" w:type="dxa"/>
          </w:tcPr>
          <w:p w:rsidR="002215A0" w:rsidRPr="006967A8" w:rsidRDefault="002215A0" w:rsidP="002215A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Тариф на передачу на 2015 год определен на уровне 0,87 руб/кВт.ч (без НДС).</w:t>
            </w:r>
          </w:p>
          <w:p w:rsidR="002215A0" w:rsidRPr="006967A8" w:rsidRDefault="002215A0" w:rsidP="002215A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2215A0" w:rsidRPr="006967A8" w:rsidRDefault="002215A0" w:rsidP="002215A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Согласно Прогнозу социально-экономического развития РФ на 2015 год и плановый период 2016-2017 годов (сентябрь 2014 г.) ИПЦ планируется на уровне:</w:t>
            </w:r>
          </w:p>
          <w:p w:rsidR="002215A0" w:rsidRPr="006967A8" w:rsidRDefault="002215A0" w:rsidP="002215A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2215A0" w:rsidRPr="006967A8" w:rsidRDefault="002215A0" w:rsidP="002215A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2015 г. – 6,7%, 2016 г. – 4,4%, 2017 г. – 4,3%.</w:t>
            </w:r>
          </w:p>
          <w:p w:rsidR="002215A0" w:rsidRPr="006967A8" w:rsidRDefault="002215A0" w:rsidP="002215A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2215A0" w:rsidRPr="006967A8" w:rsidRDefault="002215A0" w:rsidP="002215A0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ИПЦ на период 2018-2030 гг. приняты в соответствии с Пояснительной запиской МИНЭКОНОМРАЗВИТИЯ РФ «О прогнозе долгосрочного социально-экономического развития Российской Федерации на период до 2030 года» (ноябрь 2013 г.).</w:t>
            </w:r>
          </w:p>
          <w:p w:rsidR="0039035F" w:rsidRPr="006967A8" w:rsidRDefault="0039035F" w:rsidP="00F80C8C">
            <w:pPr>
              <w:jc w:val="center"/>
              <w:rPr>
                <w:color w:val="000000" w:themeColor="text1"/>
              </w:rPr>
            </w:pPr>
          </w:p>
        </w:tc>
      </w:tr>
      <w:tr w:rsidR="006A4C1A" w:rsidRPr="006967A8" w:rsidTr="00B2528B">
        <w:tc>
          <w:tcPr>
            <w:tcW w:w="2146" w:type="dxa"/>
          </w:tcPr>
          <w:p w:rsidR="007B0F71" w:rsidRPr="006967A8" w:rsidRDefault="0003637A" w:rsidP="0003637A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Изменение выручки в результате реализации инвестиционного проекта</w:t>
            </w:r>
          </w:p>
        </w:tc>
        <w:tc>
          <w:tcPr>
            <w:tcW w:w="7831" w:type="dxa"/>
          </w:tcPr>
          <w:p w:rsidR="00302F02" w:rsidRPr="006967A8" w:rsidRDefault="00152142" w:rsidP="00B51204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При определении доходной части проекта учитывается </w:t>
            </w:r>
            <w:r w:rsidR="00302F02" w:rsidRPr="006967A8">
              <w:rPr>
                <w:color w:val="000000" w:themeColor="text1"/>
                <w:sz w:val="24"/>
                <w:szCs w:val="24"/>
              </w:rPr>
              <w:t>изменение выручки за счет реализации проекта</w:t>
            </w:r>
            <w:r w:rsidR="00C01A61" w:rsidRPr="006967A8">
              <w:rPr>
                <w:color w:val="000000" w:themeColor="text1"/>
                <w:sz w:val="24"/>
                <w:szCs w:val="24"/>
              </w:rPr>
              <w:t>. Учитывается</w:t>
            </w:r>
            <w:r w:rsidR="00302F02" w:rsidRPr="006967A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566A7" w:rsidRPr="006967A8">
              <w:rPr>
                <w:color w:val="000000" w:themeColor="text1"/>
                <w:sz w:val="24"/>
                <w:szCs w:val="24"/>
              </w:rPr>
              <w:t xml:space="preserve">выручка </w:t>
            </w:r>
            <w:r w:rsidR="00545E89" w:rsidRPr="006967A8">
              <w:rPr>
                <w:color w:val="000000" w:themeColor="text1"/>
                <w:sz w:val="24"/>
                <w:szCs w:val="24"/>
              </w:rPr>
              <w:t>от услуг по технологическому присоединению новых потребителей</w:t>
            </w:r>
            <w:r w:rsidR="00C01A61" w:rsidRPr="006967A8">
              <w:rPr>
                <w:color w:val="000000" w:themeColor="text1"/>
                <w:sz w:val="24"/>
                <w:szCs w:val="24"/>
              </w:rPr>
              <w:t xml:space="preserve"> и увеличение выручки за счет деятельности по передаче электрической энергии</w:t>
            </w:r>
            <w:r w:rsidR="00264F80" w:rsidRPr="006967A8">
              <w:rPr>
                <w:bCs/>
                <w:color w:val="000000" w:themeColor="text1"/>
                <w:sz w:val="26"/>
                <w:szCs w:val="26"/>
              </w:rPr>
              <w:t>:</w:t>
            </w:r>
            <w:r w:rsidRPr="006967A8">
              <w:rPr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FB13A2" w:rsidRPr="006967A8" w:rsidRDefault="00FB13A2" w:rsidP="00152142">
            <w:pPr>
              <w:ind w:firstLine="720"/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6A4C1A" w:rsidRPr="006967A8" w:rsidRDefault="006A4C1A" w:rsidP="00B2528B">
            <w:pPr>
              <w:pStyle w:val="aa"/>
              <w:numPr>
                <w:ilvl w:val="0"/>
                <w:numId w:val="22"/>
              </w:num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Выручка от услуг по технологическому присоединению новых потребителей</w:t>
            </w:r>
          </w:p>
          <w:p w:rsidR="00B2528B" w:rsidRPr="006967A8" w:rsidRDefault="00B2528B" w:rsidP="00050CA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В качестве источника финансирования инвестиционного проекта в 200</w:t>
            </w:r>
            <w:r w:rsidR="00040ADD" w:rsidRPr="006967A8">
              <w:rPr>
                <w:color w:val="000000" w:themeColor="text1"/>
                <w:sz w:val="24"/>
                <w:szCs w:val="24"/>
              </w:rPr>
              <w:t xml:space="preserve">9 </w:t>
            </w:r>
            <w:r w:rsidRPr="006967A8">
              <w:rPr>
                <w:color w:val="000000" w:themeColor="text1"/>
                <w:sz w:val="24"/>
                <w:szCs w:val="24"/>
              </w:rPr>
              <w:t>г. использована плата за технологическое присоединение в объеме:</w:t>
            </w:r>
          </w:p>
          <w:p w:rsidR="00B2528B" w:rsidRPr="006967A8" w:rsidRDefault="00B15E83" w:rsidP="00152142">
            <w:pPr>
              <w:ind w:left="720"/>
              <w:jc w:val="both"/>
              <w:rPr>
                <w:color w:val="000000" w:themeColor="text1"/>
                <w:position w:val="-12"/>
                <w:sz w:val="24"/>
                <w:szCs w:val="24"/>
              </w:rPr>
            </w:pPr>
            <w:r w:rsidRPr="006967A8">
              <w:rPr>
                <w:color w:val="000000" w:themeColor="text1"/>
                <w:position w:val="-12"/>
                <w:sz w:val="24"/>
                <w:szCs w:val="24"/>
              </w:rPr>
              <w:object w:dxaOrig="2299" w:dyaOrig="360">
                <v:shape id="_x0000_i1026" type="#_x0000_t75" style="width:114.6pt;height:18.6pt" o:ole="">
                  <v:imagedata r:id="rId10" o:title=""/>
                </v:shape>
                <o:OLEObject Type="Embed" ProgID="Equation.3" ShapeID="_x0000_i1026" DrawAspect="Content" ObjectID="_1517920535" r:id="rId11"/>
              </w:object>
            </w:r>
          </w:p>
          <w:p w:rsidR="00B2528B" w:rsidRPr="006967A8" w:rsidRDefault="00B2528B" w:rsidP="00152142">
            <w:pPr>
              <w:ind w:left="720"/>
              <w:jc w:val="both"/>
              <w:rPr>
                <w:color w:val="000000" w:themeColor="text1"/>
                <w:position w:val="-12"/>
                <w:sz w:val="24"/>
                <w:szCs w:val="24"/>
              </w:rPr>
            </w:pPr>
          </w:p>
          <w:p w:rsidR="00B2528B" w:rsidRPr="006967A8" w:rsidRDefault="006A4C1A" w:rsidP="00B2528B">
            <w:pPr>
              <w:pStyle w:val="aa"/>
              <w:numPr>
                <w:ilvl w:val="0"/>
                <w:numId w:val="22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 xml:space="preserve">Выручка за счет деятельности по передаче электрической энергии </w:t>
            </w:r>
          </w:p>
          <w:p w:rsidR="00F01159" w:rsidRPr="006967A8" w:rsidRDefault="00F01159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Увеличение выручки за счет изменения полезного отпуска представлено в таблице</w:t>
            </w:r>
            <w:r w:rsidR="0076615E" w:rsidRPr="006967A8">
              <w:rPr>
                <w:color w:val="000000" w:themeColor="text1"/>
                <w:sz w:val="24"/>
                <w:szCs w:val="24"/>
              </w:rPr>
              <w:t xml:space="preserve"> 5</w:t>
            </w:r>
            <w:r w:rsidRPr="006967A8">
              <w:rPr>
                <w:color w:val="000000" w:themeColor="text1"/>
                <w:sz w:val="24"/>
                <w:szCs w:val="24"/>
              </w:rPr>
              <w:t>:</w:t>
            </w:r>
          </w:p>
          <w:p w:rsidR="0076615E" w:rsidRPr="006967A8" w:rsidRDefault="0076615E" w:rsidP="00152142">
            <w:pPr>
              <w:jc w:val="both"/>
              <w:rPr>
                <w:color w:val="000000" w:themeColor="text1"/>
              </w:rPr>
            </w:pPr>
          </w:p>
          <w:p w:rsidR="0076615E" w:rsidRPr="006967A8" w:rsidRDefault="0076615E" w:rsidP="0076615E">
            <w:pPr>
              <w:pStyle w:val="af"/>
              <w:rPr>
                <w:b/>
                <w:color w:val="000000" w:themeColor="text1"/>
              </w:rPr>
            </w:pPr>
            <w:r w:rsidRPr="006967A8">
              <w:rPr>
                <w:b/>
                <w:color w:val="000000" w:themeColor="text1"/>
              </w:rPr>
              <w:t>Таблица 5. Выручка за счет деятельности по передаче электрической энергии</w:t>
            </w:r>
          </w:p>
          <w:p w:rsidR="0076615E" w:rsidRPr="006967A8" w:rsidRDefault="0076615E" w:rsidP="00152142">
            <w:pPr>
              <w:jc w:val="both"/>
              <w:rPr>
                <w:color w:val="000000" w:themeColor="text1"/>
              </w:rPr>
            </w:pPr>
          </w:p>
          <w:bookmarkStart w:id="16" w:name="_MON_1401186071"/>
          <w:bookmarkStart w:id="17" w:name="_MON_1401186083"/>
          <w:bookmarkStart w:id="18" w:name="_MON_1401185894"/>
          <w:bookmarkStart w:id="19" w:name="_MON_1446026685"/>
          <w:bookmarkStart w:id="20" w:name="_MON_1486810761"/>
          <w:bookmarkEnd w:id="16"/>
          <w:bookmarkEnd w:id="17"/>
          <w:bookmarkEnd w:id="18"/>
          <w:bookmarkEnd w:id="19"/>
          <w:bookmarkEnd w:id="20"/>
          <w:bookmarkStart w:id="21" w:name="_MON_1413034880"/>
          <w:bookmarkEnd w:id="21"/>
          <w:p w:rsidR="00F01159" w:rsidRPr="006967A8" w:rsidRDefault="00700F26" w:rsidP="00F01159">
            <w:pPr>
              <w:ind w:left="-2" w:hanging="12"/>
              <w:jc w:val="both"/>
              <w:rPr>
                <w:color w:val="000000" w:themeColor="text1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object w:dxaOrig="13878" w:dyaOrig="5363">
                <v:shape id="_x0000_i1027" type="#_x0000_t75" style="width:394.8pt;height:151.8pt" o:ole="">
                  <v:imagedata r:id="rId12" o:title=""/>
                </v:shape>
                <o:OLEObject Type="Embed" ProgID="Excel.Sheet.8" ShapeID="_x0000_i1027" DrawAspect="Content" ObjectID="_1517920536" r:id="rId13"/>
              </w:object>
            </w:r>
          </w:p>
          <w:p w:rsidR="00B2561C" w:rsidRPr="006967A8" w:rsidRDefault="00700F26" w:rsidP="00B2561C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position w:val="-14"/>
                <w:sz w:val="24"/>
                <w:szCs w:val="24"/>
              </w:rPr>
              <w:object w:dxaOrig="6560" w:dyaOrig="380">
                <v:shape id="_x0000_i1028" type="#_x0000_t75" style="width:328.8pt;height:19.2pt" o:ole="">
                  <v:imagedata r:id="rId14" o:title=""/>
                </v:shape>
                <o:OLEObject Type="Embed" ProgID="Equation.3" ShapeID="_x0000_i1028" DrawAspect="Content" ObjectID="_1517920537" r:id="rId15"/>
              </w:object>
            </w:r>
          </w:p>
          <w:p w:rsidR="00B2561C" w:rsidRPr="006967A8" w:rsidRDefault="00B2561C" w:rsidP="00B2561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i/>
                <w:color w:val="000000" w:themeColor="text1"/>
                <w:sz w:val="24"/>
                <w:szCs w:val="24"/>
              </w:rPr>
              <w:t xml:space="preserve">5550 час. </w:t>
            </w:r>
            <w:r w:rsidRPr="006967A8">
              <w:rPr>
                <w:color w:val="000000" w:themeColor="text1"/>
                <w:sz w:val="24"/>
                <w:szCs w:val="24"/>
              </w:rPr>
              <w:t>- число часов использования нагрузки в год.</w:t>
            </w:r>
          </w:p>
          <w:p w:rsidR="00B2561C" w:rsidRPr="006967A8" w:rsidRDefault="00B2561C" w:rsidP="00B2561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i/>
                <w:color w:val="000000" w:themeColor="text1"/>
                <w:sz w:val="24"/>
                <w:szCs w:val="24"/>
              </w:rPr>
              <w:t>0,87 руб./кВтч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- тариф на передачу в 201</w:t>
            </w:r>
            <w:r w:rsidR="002215A0" w:rsidRPr="006967A8">
              <w:rPr>
                <w:color w:val="000000" w:themeColor="text1"/>
                <w:sz w:val="24"/>
                <w:szCs w:val="24"/>
              </w:rPr>
              <w:t>5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году.</w:t>
            </w:r>
          </w:p>
          <w:p w:rsidR="00B2561C" w:rsidRPr="006967A8" w:rsidRDefault="00AA1487" w:rsidP="00B2561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i/>
                <w:color w:val="000000" w:themeColor="text1"/>
                <w:sz w:val="24"/>
                <w:szCs w:val="24"/>
              </w:rPr>
              <w:t>4,324</w:t>
            </w:r>
            <w:r w:rsidR="00B2561C" w:rsidRPr="006967A8">
              <w:rPr>
                <w:i/>
                <w:color w:val="000000" w:themeColor="text1"/>
                <w:sz w:val="24"/>
                <w:szCs w:val="24"/>
              </w:rPr>
              <w:t xml:space="preserve"> МВт </w:t>
            </w:r>
            <w:r w:rsidR="00B2561C" w:rsidRPr="006967A8">
              <w:rPr>
                <w:color w:val="000000" w:themeColor="text1"/>
                <w:sz w:val="24"/>
                <w:szCs w:val="24"/>
              </w:rPr>
              <w:t>– мощность, присоединяемая в 20</w:t>
            </w:r>
            <w:r w:rsidR="007F3334" w:rsidRPr="006967A8">
              <w:rPr>
                <w:color w:val="000000" w:themeColor="text1"/>
                <w:sz w:val="24"/>
                <w:szCs w:val="24"/>
              </w:rPr>
              <w:t>2</w:t>
            </w:r>
            <w:r w:rsidR="00BC111B" w:rsidRPr="006967A8">
              <w:rPr>
                <w:color w:val="000000" w:themeColor="text1"/>
                <w:sz w:val="24"/>
                <w:szCs w:val="24"/>
              </w:rPr>
              <w:t>1</w:t>
            </w:r>
            <w:r w:rsidR="00B2561C" w:rsidRPr="006967A8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6C7765" w:rsidRPr="006967A8" w:rsidRDefault="006C7765" w:rsidP="006C776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6A4C1A" w:rsidRPr="006967A8" w:rsidTr="00B2528B">
        <w:tc>
          <w:tcPr>
            <w:tcW w:w="2146" w:type="dxa"/>
          </w:tcPr>
          <w:p w:rsidR="007B0F71" w:rsidRPr="006967A8" w:rsidRDefault="00A3451A" w:rsidP="00A3451A">
            <w:pPr>
              <w:rPr>
                <w:b/>
                <w:color w:val="000000" w:themeColor="text1"/>
                <w:sz w:val="24"/>
                <w:szCs w:val="24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</w:rPr>
              <w:t>Изменение затрат от операционной деятельности в случае реализации проекта</w:t>
            </w:r>
          </w:p>
        </w:tc>
        <w:tc>
          <w:tcPr>
            <w:tcW w:w="7831" w:type="dxa"/>
          </w:tcPr>
          <w:p w:rsidR="00BE400E" w:rsidRPr="006967A8" w:rsidRDefault="00BE400E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ru-RU"/>
              </w:rPr>
              <w:t>Нормативный срок эксплуатации оборудования ПС – 25 лет.</w:t>
            </w:r>
          </w:p>
          <w:p w:rsidR="00FB13A2" w:rsidRPr="006967A8" w:rsidRDefault="00EC7021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ru-RU"/>
              </w:rPr>
              <w:t>Устанавливаемое на ПС оборудование относится к 7-ой амортизационной группе со сроком полезного использования 20 лет.</w:t>
            </w:r>
          </w:p>
          <w:p w:rsidR="0077583F" w:rsidRPr="006967A8" w:rsidRDefault="0077583F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FB13A2" w:rsidRPr="006967A8" w:rsidRDefault="00F15361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Эксплуатационные расходы после реконструкции планируются в размере 100 тыс. руб., затраты на текущий ремонт планируются в сумме 600 тыс. руб. с периодичностью 1 раз в 3 года, проведение капитальных ремонтов планируется 1 раз в 8 лет в сумме 2 000  тыс. руб. в год без НДС в ценах 20</w:t>
            </w:r>
            <w:r w:rsidR="003327F5" w:rsidRPr="006967A8">
              <w:rPr>
                <w:color w:val="000000" w:themeColor="text1"/>
                <w:sz w:val="24"/>
                <w:szCs w:val="24"/>
              </w:rPr>
              <w:t>1</w:t>
            </w:r>
            <w:r w:rsidR="002215A0" w:rsidRPr="006967A8">
              <w:rPr>
                <w:color w:val="000000" w:themeColor="text1"/>
                <w:sz w:val="24"/>
                <w:szCs w:val="24"/>
              </w:rPr>
              <w:t>4</w:t>
            </w:r>
            <w:r w:rsidRPr="006967A8">
              <w:rPr>
                <w:color w:val="000000" w:themeColor="text1"/>
                <w:sz w:val="24"/>
                <w:szCs w:val="24"/>
              </w:rPr>
              <w:t xml:space="preserve"> г. </w:t>
            </w:r>
          </w:p>
          <w:p w:rsidR="0077583F" w:rsidRPr="006967A8" w:rsidRDefault="0077583F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</w:p>
          <w:p w:rsidR="00102A47" w:rsidRPr="006967A8" w:rsidRDefault="00F15361" w:rsidP="00AB1A0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По налогу на имущество установлены федеральные налоговые льготы. В частности, от уплаты налога освобождаются линии электропередач, а также сооружения, являющихся неотъемлемой частью указанных объектов. Перечень имущества, относящегося к указанным объектам, утверждается Правительством Российской Федерации. Данный перечень утвержден  Постановлением Правительства РФ от 30 сентября 2004 г. N 504 "О перечне имущества, относящегося к железнодорожным путям общего пользования, федеральным автомобильным дорогам общего пользования, магистральным трубопроводам, линиям энергопередачи, а также сооружений, являющихся неотъемлемой технологической частью указанных объектов, в отношении которых организации освобождаются от обложения налогом на имущество организаций".</w:t>
            </w:r>
          </w:p>
        </w:tc>
      </w:tr>
      <w:tr w:rsidR="006A4C1A" w:rsidRPr="006967A8" w:rsidTr="00B2528B">
        <w:tc>
          <w:tcPr>
            <w:tcW w:w="2146" w:type="dxa"/>
          </w:tcPr>
          <w:p w:rsidR="00702052" w:rsidRPr="006967A8" w:rsidRDefault="00702052" w:rsidP="00913A3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702052" w:rsidRPr="006967A8" w:rsidRDefault="00702052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6967A8" w:rsidRDefault="0062621A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_Toc231645040"/>
      <w:bookmarkStart w:id="23" w:name="_Toc309840747"/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r w:rsidR="00440E18"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экономической</w:t>
      </w:r>
      <w:r w:rsidR="00440E18"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инвестиционного</w:t>
      </w:r>
      <w:r w:rsidR="00440E18"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E18" w:rsidRPr="006967A8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проекта</w:t>
      </w:r>
      <w:bookmarkEnd w:id="22"/>
      <w:bookmarkEnd w:id="23"/>
    </w:p>
    <w:p w:rsidR="00C80F73" w:rsidRPr="006967A8" w:rsidRDefault="00C80F73" w:rsidP="0058593D">
      <w:pPr>
        <w:rPr>
          <w:color w:val="000000" w:themeColor="text1"/>
        </w:rPr>
      </w:pPr>
    </w:p>
    <w:p w:rsidR="00373323" w:rsidRPr="006967A8" w:rsidRDefault="00373323" w:rsidP="0058593D">
      <w:pPr>
        <w:rPr>
          <w:color w:val="000000" w:themeColor="text1"/>
        </w:rPr>
      </w:pPr>
    </w:p>
    <w:p w:rsidR="003E145C" w:rsidRPr="006967A8" w:rsidRDefault="003E145C" w:rsidP="003E145C">
      <w:pPr>
        <w:ind w:right="-81"/>
        <w:jc w:val="center"/>
        <w:rPr>
          <w:color w:val="000000" w:themeColor="text1"/>
          <w:sz w:val="26"/>
          <w:szCs w:val="26"/>
        </w:rPr>
      </w:pPr>
      <w:r w:rsidRPr="006967A8">
        <w:rPr>
          <w:color w:val="000000" w:themeColor="text1"/>
          <w:sz w:val="26"/>
          <w:szCs w:val="26"/>
        </w:rPr>
        <w:t>Исходные данные для оценки эффективности проекта</w:t>
      </w:r>
    </w:p>
    <w:p w:rsidR="0076615E" w:rsidRPr="006967A8" w:rsidRDefault="0076615E" w:rsidP="00FE2935">
      <w:pPr>
        <w:ind w:right="-81"/>
        <w:jc w:val="right"/>
        <w:rPr>
          <w:color w:val="000000" w:themeColor="text1"/>
          <w:sz w:val="26"/>
          <w:szCs w:val="26"/>
        </w:rPr>
      </w:pPr>
      <w:r w:rsidRPr="006967A8">
        <w:rPr>
          <w:color w:val="000000" w:themeColor="text1"/>
          <w:sz w:val="26"/>
          <w:szCs w:val="26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7"/>
        <w:gridCol w:w="2380"/>
      </w:tblGrid>
      <w:tr w:rsidR="003E145C" w:rsidRPr="006967A8" w:rsidTr="00AC2696">
        <w:trPr>
          <w:trHeight w:val="255"/>
          <w:tblHeader/>
          <w:jc w:val="center"/>
        </w:trPr>
        <w:tc>
          <w:tcPr>
            <w:tcW w:w="3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E145C" w:rsidRPr="006967A8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3E145C" w:rsidRPr="006967A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E145C" w:rsidRPr="006967A8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Основные параметры расчета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E145C" w:rsidRPr="006967A8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Год начала инвестиционного проекта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6967A8" w:rsidRDefault="00DA745C" w:rsidP="00102A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200</w:t>
            </w:r>
            <w:r w:rsidR="00102A47"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3E145C" w:rsidRPr="006967A8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Установленная ставка дисконтирования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6967A8" w:rsidRDefault="002215A0" w:rsidP="002215A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</w:tr>
      <w:tr w:rsidR="003E145C" w:rsidRPr="006967A8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Нормативный срок службы 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</w:tr>
      <w:tr w:rsidR="003E145C" w:rsidRPr="006967A8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Налоговые ставки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E145C" w:rsidRPr="006967A8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добавленную стоимость (НДС)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  <w:tr w:rsidR="003E145C" w:rsidRPr="006967A8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прибыль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</w:tr>
      <w:tr w:rsidR="003E145C" w:rsidRPr="006967A8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имущество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3E145C" w:rsidRPr="006967A8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6967A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Отчисления на социальное страхование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E145C" w:rsidRPr="006967A8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</w:tr>
    </w:tbl>
    <w:p w:rsidR="003E145C" w:rsidRPr="006967A8" w:rsidRDefault="003E145C" w:rsidP="00836F0A">
      <w:pPr>
        <w:rPr>
          <w:color w:val="000000" w:themeColor="text1"/>
        </w:rPr>
      </w:pPr>
    </w:p>
    <w:p w:rsidR="00373323" w:rsidRPr="006967A8" w:rsidRDefault="00373323" w:rsidP="00836F0A">
      <w:pPr>
        <w:rPr>
          <w:color w:val="000000" w:themeColor="text1"/>
        </w:rPr>
      </w:pPr>
    </w:p>
    <w:p w:rsidR="002215A0" w:rsidRPr="006967A8" w:rsidRDefault="002215A0" w:rsidP="002215A0">
      <w:pPr>
        <w:jc w:val="both"/>
        <w:rPr>
          <w:color w:val="000000" w:themeColor="text1"/>
          <w:lang w:eastAsia="en-US"/>
        </w:rPr>
      </w:pPr>
      <w:r w:rsidRPr="006967A8">
        <w:rPr>
          <w:color w:val="000000" w:themeColor="text1"/>
          <w:lang w:eastAsia="en-US"/>
        </w:rPr>
        <w:t>Согласно сценарным условиям формирования инвестиционных программ ДЗО ОАО «Россети» (письмо ОАО «Россети» № БД/100/110 от 30.01.15 г.) при расчете экономической эффективности ставка дисконтирования должна соответствовать: для компаний группы кредитоспособности «А» - 16,5%, для компаний группы «Б» - 19,5%, для компаний группы «В» - 20,5%.</w:t>
      </w:r>
    </w:p>
    <w:p w:rsidR="003E145C" w:rsidRPr="006967A8" w:rsidRDefault="003E145C" w:rsidP="00836F0A">
      <w:pPr>
        <w:rPr>
          <w:color w:val="000000" w:themeColor="text1"/>
        </w:rPr>
      </w:pPr>
    </w:p>
    <w:p w:rsidR="00C263D8" w:rsidRPr="006967A8" w:rsidRDefault="00C263D8" w:rsidP="00836F0A">
      <w:pPr>
        <w:rPr>
          <w:color w:val="000000" w:themeColor="text1"/>
        </w:rPr>
      </w:pPr>
    </w:p>
    <w:p w:rsidR="00EC7021" w:rsidRPr="006967A8" w:rsidRDefault="00EC7021" w:rsidP="00EC7021">
      <w:pPr>
        <w:ind w:right="-81"/>
        <w:jc w:val="center"/>
        <w:rPr>
          <w:color w:val="000000" w:themeColor="text1"/>
          <w:sz w:val="26"/>
          <w:szCs w:val="26"/>
        </w:rPr>
      </w:pPr>
      <w:r w:rsidRPr="006967A8">
        <w:rPr>
          <w:color w:val="000000" w:themeColor="text1"/>
          <w:sz w:val="26"/>
          <w:szCs w:val="26"/>
        </w:rPr>
        <w:t>Показатели экономической эффективности проекта</w:t>
      </w:r>
    </w:p>
    <w:p w:rsidR="00EC7021" w:rsidRPr="006967A8" w:rsidRDefault="00EC7021" w:rsidP="00EC7021">
      <w:pPr>
        <w:ind w:right="-81"/>
        <w:jc w:val="right"/>
        <w:rPr>
          <w:color w:val="000000" w:themeColor="text1"/>
          <w:sz w:val="26"/>
          <w:szCs w:val="26"/>
        </w:rPr>
      </w:pPr>
      <w:r w:rsidRPr="006967A8">
        <w:rPr>
          <w:color w:val="000000" w:themeColor="text1"/>
          <w:sz w:val="26"/>
          <w:szCs w:val="26"/>
        </w:rPr>
        <w:t xml:space="preserve">Таблица </w:t>
      </w:r>
      <w:r w:rsidR="0076615E" w:rsidRPr="006967A8">
        <w:rPr>
          <w:color w:val="000000" w:themeColor="text1"/>
          <w:sz w:val="26"/>
          <w:szCs w:val="26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7"/>
        <w:gridCol w:w="2940"/>
      </w:tblGrid>
      <w:tr w:rsidR="00EC7021" w:rsidRPr="006967A8" w:rsidTr="00AC269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EC7021" w:rsidRPr="006967A8" w:rsidRDefault="00EC7021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EC7021" w:rsidRPr="006967A8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7B3A" w:rsidRPr="006967A8" w:rsidTr="00B07B3A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7B3A" w:rsidRPr="006967A8" w:rsidRDefault="00B07B3A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NPV, чистый дисконтированный доход проекта, тыс. руб.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07B3A" w:rsidRPr="006967A8" w:rsidRDefault="002800C9" w:rsidP="00B3296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67A8">
              <w:rPr>
                <w:rFonts w:ascii="Arial" w:hAnsi="Arial" w:cs="Arial"/>
                <w:color w:val="000000" w:themeColor="text1"/>
              </w:rPr>
              <w:t>-</w:t>
            </w:r>
            <w:r w:rsidR="007C7709" w:rsidRPr="006967A8">
              <w:rPr>
                <w:rFonts w:ascii="Arial" w:hAnsi="Arial" w:cs="Arial"/>
                <w:color w:val="000000" w:themeColor="text1"/>
              </w:rPr>
              <w:t xml:space="preserve">23 </w:t>
            </w:r>
            <w:r w:rsidR="00B32961" w:rsidRPr="006967A8">
              <w:rPr>
                <w:rFonts w:ascii="Arial" w:hAnsi="Arial" w:cs="Arial"/>
                <w:color w:val="000000" w:themeColor="text1"/>
              </w:rPr>
              <w:t>765</w:t>
            </w:r>
          </w:p>
        </w:tc>
      </w:tr>
      <w:tr w:rsidR="00B07B3A" w:rsidRPr="006967A8" w:rsidTr="00B07B3A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7B3A" w:rsidRPr="006967A8" w:rsidRDefault="00B07B3A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IRR, внутренняя норма доходности, %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07B3A" w:rsidRPr="006967A8" w:rsidRDefault="007C7709" w:rsidP="00700F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67A8">
              <w:rPr>
                <w:rFonts w:ascii="Arial" w:hAnsi="Arial" w:cs="Arial"/>
                <w:color w:val="000000" w:themeColor="text1"/>
              </w:rPr>
              <w:t>13</w:t>
            </w:r>
            <w:r w:rsidR="00700F26" w:rsidRPr="006967A8">
              <w:rPr>
                <w:rFonts w:ascii="Arial" w:hAnsi="Arial" w:cs="Arial"/>
                <w:color w:val="000000" w:themeColor="text1"/>
              </w:rPr>
              <w:t>%</w:t>
            </w:r>
          </w:p>
        </w:tc>
      </w:tr>
      <w:tr w:rsidR="00B07B3A" w:rsidRPr="006967A8" w:rsidTr="00B07B3A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7B3A" w:rsidRPr="006967A8" w:rsidRDefault="00B07B3A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07B3A" w:rsidRPr="006967A8" w:rsidRDefault="00B32961" w:rsidP="004613A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67A8">
              <w:rPr>
                <w:rFonts w:ascii="Arial" w:hAnsi="Arial" w:cs="Arial"/>
                <w:color w:val="000000" w:themeColor="text1"/>
              </w:rPr>
              <w:t>19,94</w:t>
            </w:r>
          </w:p>
        </w:tc>
      </w:tr>
      <w:tr w:rsidR="00B07B3A" w:rsidRPr="006967A8" w:rsidTr="00B07B3A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7B3A" w:rsidRPr="006967A8" w:rsidRDefault="00B07B3A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Дисконтированный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07B3A" w:rsidRPr="006967A8" w:rsidRDefault="002800C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67A8">
              <w:rPr>
                <w:rFonts w:ascii="Arial" w:hAnsi="Arial" w:cs="Arial"/>
                <w:color w:val="000000" w:themeColor="text1"/>
              </w:rPr>
              <w:t>неокуп</w:t>
            </w:r>
          </w:p>
        </w:tc>
      </w:tr>
      <w:tr w:rsidR="00EC7021" w:rsidRPr="006967A8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021" w:rsidRPr="006967A8" w:rsidRDefault="00EC702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67A8"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Индекс доходности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7021" w:rsidRPr="006967A8" w:rsidRDefault="002800C9" w:rsidP="00700F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67A8">
              <w:rPr>
                <w:rFonts w:ascii="Arial" w:hAnsi="Arial" w:cs="Arial"/>
                <w:color w:val="000000" w:themeColor="text1"/>
              </w:rPr>
              <w:t>0,</w:t>
            </w:r>
            <w:r w:rsidR="00B32961" w:rsidRPr="006967A8">
              <w:rPr>
                <w:rFonts w:ascii="Arial" w:hAnsi="Arial" w:cs="Arial"/>
                <w:color w:val="000000" w:themeColor="text1"/>
              </w:rPr>
              <w:t>661</w:t>
            </w:r>
          </w:p>
        </w:tc>
      </w:tr>
    </w:tbl>
    <w:p w:rsidR="001551B8" w:rsidRPr="006967A8" w:rsidRDefault="001551B8" w:rsidP="00836F0A">
      <w:pPr>
        <w:rPr>
          <w:color w:val="000000" w:themeColor="text1"/>
        </w:rPr>
      </w:pPr>
    </w:p>
    <w:p w:rsidR="005E7C36" w:rsidRPr="006967A8" w:rsidRDefault="005E7C36" w:rsidP="005E7C36">
      <w:pPr>
        <w:jc w:val="both"/>
        <w:rPr>
          <w:color w:val="000000" w:themeColor="text1"/>
        </w:rPr>
      </w:pPr>
      <w:r w:rsidRPr="006967A8">
        <w:rPr>
          <w:color w:val="000000" w:themeColor="text1"/>
        </w:rPr>
        <w:t xml:space="preserve">Показатель «внутренняя норма доходности» ниже </w:t>
      </w:r>
      <w:r w:rsidR="002215A0" w:rsidRPr="006967A8">
        <w:rPr>
          <w:color w:val="000000" w:themeColor="text1"/>
        </w:rPr>
        <w:t>20,5</w:t>
      </w:r>
      <w:r w:rsidRPr="006967A8">
        <w:rPr>
          <w:color w:val="000000" w:themeColor="text1"/>
        </w:rPr>
        <w:t>%.</w:t>
      </w:r>
    </w:p>
    <w:p w:rsidR="00FB13A2" w:rsidRPr="006967A8" w:rsidRDefault="002E06AE" w:rsidP="00836F0A">
      <w:pPr>
        <w:rPr>
          <w:color w:val="000000" w:themeColor="text1"/>
        </w:rPr>
      </w:pPr>
      <w:r w:rsidRPr="006967A8">
        <w:rPr>
          <w:color w:val="000000" w:themeColor="text1"/>
        </w:rPr>
        <w:t xml:space="preserve"> </w:t>
      </w:r>
    </w:p>
    <w:p w:rsidR="00820DD9" w:rsidRPr="006967A8" w:rsidRDefault="00820DD9" w:rsidP="00836F0A">
      <w:pPr>
        <w:rPr>
          <w:color w:val="000000" w:themeColor="text1"/>
        </w:rPr>
      </w:pPr>
    </w:p>
    <w:p w:rsidR="006E2231" w:rsidRPr="006967A8" w:rsidRDefault="006E2231" w:rsidP="006E2231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_Toc298941663"/>
      <w:bookmarkStart w:id="25" w:name="_Toc309840748"/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Анализ рисков и чувствительности проекта</w:t>
      </w:r>
      <w:bookmarkEnd w:id="24"/>
      <w:bookmarkEnd w:id="25"/>
    </w:p>
    <w:p w:rsidR="006E2231" w:rsidRPr="006967A8" w:rsidRDefault="006E2231" w:rsidP="006E2231">
      <w:pPr>
        <w:rPr>
          <w:color w:val="000000" w:themeColor="text1"/>
        </w:rPr>
      </w:pPr>
    </w:p>
    <w:p w:rsidR="00820DD9" w:rsidRPr="006967A8" w:rsidRDefault="00820DD9" w:rsidP="006E2231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6E2231" w:rsidRPr="006967A8" w:rsidTr="006E2231">
        <w:tc>
          <w:tcPr>
            <w:tcW w:w="2376" w:type="dxa"/>
            <w:hideMark/>
          </w:tcPr>
          <w:p w:rsidR="006E2231" w:rsidRPr="006967A8" w:rsidRDefault="006E22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6967A8">
              <w:rPr>
                <w:b/>
                <w:color w:val="000000" w:themeColor="text1"/>
                <w:sz w:val="24"/>
                <w:szCs w:val="24"/>
                <w:lang w:eastAsia="en-US"/>
              </w:rPr>
              <w:t>Анализ рисков и чувствительности проекта</w:t>
            </w:r>
          </w:p>
          <w:p w:rsidR="00FB13A2" w:rsidRPr="006967A8" w:rsidRDefault="00FB13A2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575" w:type="dxa"/>
          </w:tcPr>
          <w:p w:rsidR="006E2231" w:rsidRPr="006967A8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>При оценке чувствительности инвестиционного проекта в качестве факторов, отражающих изменение внешних условий реализации и способных оказать наиболее существенное влияние на эффективность проекта, использова</w:t>
            </w:r>
            <w:r w:rsidR="0040597F" w:rsidRPr="006967A8">
              <w:rPr>
                <w:color w:val="000000" w:themeColor="text1"/>
                <w:sz w:val="24"/>
                <w:szCs w:val="24"/>
                <w:lang w:eastAsia="en-US"/>
              </w:rPr>
              <w:t>ны</w:t>
            </w: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373323" w:rsidRPr="006967A8" w:rsidRDefault="00373323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6E2231" w:rsidRPr="006967A8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объем инвестиционных затрат по проекту;</w:t>
            </w:r>
          </w:p>
          <w:p w:rsidR="006E2231" w:rsidRPr="006967A8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6967A8">
              <w:rPr>
                <w:color w:val="000000" w:themeColor="text1"/>
                <w:sz w:val="24"/>
                <w:szCs w:val="24"/>
              </w:rPr>
              <w:t>изменение тарифов на услуги по передаче электрической энергии</w:t>
            </w:r>
            <w:r w:rsidR="0040597F" w:rsidRPr="006967A8">
              <w:rPr>
                <w:color w:val="000000" w:themeColor="text1"/>
                <w:sz w:val="24"/>
                <w:szCs w:val="24"/>
              </w:rPr>
              <w:t>.</w:t>
            </w:r>
          </w:p>
          <w:p w:rsidR="00373323" w:rsidRPr="006967A8" w:rsidRDefault="00373323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1F6C60" w:rsidRPr="006967A8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>Результаты оценки чувствительности инвестиционного проекта пр</w:t>
            </w:r>
            <w:r w:rsidR="0040597F" w:rsidRPr="006967A8">
              <w:rPr>
                <w:color w:val="000000" w:themeColor="text1"/>
                <w:sz w:val="24"/>
                <w:szCs w:val="24"/>
                <w:lang w:eastAsia="en-US"/>
              </w:rPr>
              <w:t>едставлены в таблице</w:t>
            </w: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6615E" w:rsidRPr="006967A8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6967A8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5E7C36" w:rsidRDefault="005E7C36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8711F0" w:rsidRPr="006967A8" w:rsidRDefault="008711F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bookmarkStart w:id="26" w:name="_GoBack"/>
            <w:bookmarkEnd w:id="26"/>
          </w:p>
          <w:p w:rsidR="004167AC" w:rsidRPr="006967A8" w:rsidRDefault="004167AC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6E2231" w:rsidRPr="006967A8" w:rsidRDefault="006E2231" w:rsidP="006E2231">
      <w:pPr>
        <w:pStyle w:val="af"/>
        <w:rPr>
          <w:b/>
          <w:color w:val="000000" w:themeColor="text1"/>
        </w:rPr>
      </w:pPr>
      <w:r w:rsidRPr="006967A8">
        <w:rPr>
          <w:b/>
          <w:color w:val="000000" w:themeColor="text1"/>
        </w:rPr>
        <w:t xml:space="preserve">Таблица </w:t>
      </w:r>
      <w:r w:rsidR="0076615E" w:rsidRPr="006967A8">
        <w:rPr>
          <w:b/>
          <w:color w:val="000000" w:themeColor="text1"/>
        </w:rPr>
        <w:t>8</w:t>
      </w:r>
      <w:r w:rsidRPr="006967A8">
        <w:rPr>
          <w:b/>
          <w:color w:val="000000" w:themeColor="text1"/>
        </w:rPr>
        <w:t>. Изменение показателей экономической эффективности</w:t>
      </w:r>
    </w:p>
    <w:p w:rsidR="006E2231" w:rsidRPr="006967A8" w:rsidRDefault="006E2231" w:rsidP="006E2231">
      <w:pPr>
        <w:rPr>
          <w:color w:val="000000" w:themeColor="text1"/>
        </w:rPr>
      </w:pPr>
    </w:p>
    <w:p w:rsidR="0040597F" w:rsidRPr="006967A8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6967A8">
        <w:rPr>
          <w:color w:val="000000" w:themeColor="text1"/>
          <w:sz w:val="26"/>
          <w:szCs w:val="26"/>
        </w:rPr>
        <w:t>А</w:t>
      </w:r>
      <w:r w:rsidRPr="006967A8">
        <w:rPr>
          <w:color w:val="000000" w:themeColor="text1"/>
        </w:rPr>
        <w:t>нализ чувствительности проекта (фактор изменения объема инвестиционных затрат)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6E2231" w:rsidRPr="006967A8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6967A8" w:rsidRDefault="006E2231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967A8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6967A8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6967A8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6967A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6967A8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6967A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6967A8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6967A8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6967A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6967A8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6967A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844104" w:rsidRPr="006967A8" w:rsidTr="005E7044">
        <w:trPr>
          <w:trHeight w:val="5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4104" w:rsidRPr="006967A8" w:rsidRDefault="00844104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967A8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104" w:rsidRPr="006967A8" w:rsidRDefault="00844104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967A8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4104" w:rsidRPr="006967A8" w:rsidRDefault="0084410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104" w:rsidRPr="006967A8" w:rsidRDefault="0084410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104" w:rsidRPr="006967A8" w:rsidRDefault="00844104" w:rsidP="00867A1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104" w:rsidRPr="006967A8" w:rsidRDefault="0084410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104" w:rsidRPr="006967A8" w:rsidRDefault="0084410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844104" w:rsidRPr="006967A8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104" w:rsidRPr="006967A8" w:rsidRDefault="00844104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967A8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104" w:rsidRPr="006967A8" w:rsidRDefault="00844104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967A8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4104" w:rsidRPr="006967A8" w:rsidRDefault="0084410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104" w:rsidRPr="006967A8" w:rsidRDefault="0084410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104" w:rsidRPr="006967A8" w:rsidRDefault="00844104" w:rsidP="00867A1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104" w:rsidRPr="006967A8" w:rsidRDefault="0084410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104" w:rsidRPr="006967A8" w:rsidRDefault="0084410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E9078B" w:rsidRPr="006967A8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8B" w:rsidRPr="006967A8" w:rsidRDefault="00E9078B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967A8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8B" w:rsidRPr="006967A8" w:rsidRDefault="00E9078B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967A8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8B" w:rsidRPr="006967A8" w:rsidRDefault="00E9078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78B" w:rsidRPr="006967A8" w:rsidRDefault="00E9078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78B" w:rsidRPr="006967A8" w:rsidRDefault="00E9078B" w:rsidP="00B07B3A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78B" w:rsidRPr="006967A8" w:rsidRDefault="00E9078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78B" w:rsidRPr="006967A8" w:rsidRDefault="00E9078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E9078B" w:rsidRPr="006967A8" w:rsidTr="00382E3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8B" w:rsidRPr="006967A8" w:rsidRDefault="00E9078B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967A8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8B" w:rsidRPr="006967A8" w:rsidRDefault="00E9078B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8B" w:rsidRPr="006967A8" w:rsidRDefault="00E9078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78B" w:rsidRPr="006967A8" w:rsidRDefault="00E9078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78B" w:rsidRPr="006967A8" w:rsidRDefault="00E9078B" w:rsidP="00B07B3A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78B" w:rsidRPr="006967A8" w:rsidRDefault="00E9078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78B" w:rsidRPr="006967A8" w:rsidRDefault="00E9078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40597F" w:rsidRPr="006967A8" w:rsidRDefault="0040597F" w:rsidP="0040597F">
      <w:pPr>
        <w:spacing w:line="360" w:lineRule="auto"/>
        <w:ind w:firstLine="708"/>
        <w:jc w:val="center"/>
        <w:rPr>
          <w:color w:val="000000" w:themeColor="text1"/>
          <w:sz w:val="26"/>
          <w:szCs w:val="26"/>
        </w:rPr>
      </w:pPr>
    </w:p>
    <w:p w:rsidR="0040597F" w:rsidRPr="006967A8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6967A8">
        <w:rPr>
          <w:color w:val="000000" w:themeColor="text1"/>
          <w:sz w:val="26"/>
          <w:szCs w:val="26"/>
        </w:rPr>
        <w:t>А</w:t>
      </w:r>
      <w:r w:rsidRPr="006967A8">
        <w:rPr>
          <w:color w:val="000000" w:themeColor="text1"/>
        </w:rPr>
        <w:t>нализ чувствительности проекта (фактор изменения тарифа на услуги по передаче электрической энергии)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40597F" w:rsidRPr="006967A8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6967A8" w:rsidRDefault="0040597F" w:rsidP="00AC2696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967A8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6967A8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6967A8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6967A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6967A8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6967A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6967A8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6967A8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6967A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6967A8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6967A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6967A8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F44815" w:rsidRPr="006967A8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815" w:rsidRPr="006967A8" w:rsidRDefault="00F4481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967A8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815" w:rsidRPr="006967A8" w:rsidRDefault="00F4481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967A8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815" w:rsidRPr="006967A8" w:rsidRDefault="00F44815" w:rsidP="00C817E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44815" w:rsidRPr="006967A8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815" w:rsidRPr="006967A8" w:rsidRDefault="00F4481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967A8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815" w:rsidRPr="006967A8" w:rsidRDefault="00F4481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967A8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815" w:rsidRPr="006967A8" w:rsidRDefault="00F44815" w:rsidP="00C817E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44815" w:rsidRPr="006967A8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815" w:rsidRPr="006967A8" w:rsidRDefault="00F4481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967A8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815" w:rsidRPr="006967A8" w:rsidRDefault="00F4481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967A8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815" w:rsidRPr="006967A8" w:rsidRDefault="00F44815" w:rsidP="00C817E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44815" w:rsidRPr="006967A8" w:rsidTr="007F5E99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815" w:rsidRPr="006967A8" w:rsidRDefault="00F4481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967A8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815" w:rsidRPr="006967A8" w:rsidRDefault="00F44815" w:rsidP="00AC2696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815" w:rsidRPr="006967A8" w:rsidRDefault="00F44815" w:rsidP="00C817E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815" w:rsidRPr="006967A8" w:rsidRDefault="00F448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40597F" w:rsidRPr="006967A8" w:rsidRDefault="0040597F" w:rsidP="0040597F">
      <w:pPr>
        <w:jc w:val="both"/>
        <w:rPr>
          <w:color w:val="000000" w:themeColor="text1"/>
          <w:lang w:eastAsia="en-US"/>
        </w:rPr>
      </w:pPr>
    </w:p>
    <w:p w:rsidR="0040597F" w:rsidRPr="006967A8" w:rsidRDefault="0001190F" w:rsidP="0040597F">
      <w:pPr>
        <w:jc w:val="both"/>
        <w:rPr>
          <w:color w:val="000000" w:themeColor="text1"/>
        </w:rPr>
      </w:pPr>
      <w:r w:rsidRPr="006967A8">
        <w:rPr>
          <w:color w:val="000000" w:themeColor="text1"/>
        </w:rPr>
        <w:t xml:space="preserve">Наиболее значительно на экономических показателях проекта скажется изменение тарифа на услуги по передаче электрической энергии. </w:t>
      </w:r>
    </w:p>
    <w:p w:rsidR="002215A0" w:rsidRPr="006967A8" w:rsidRDefault="002215A0" w:rsidP="0040597F">
      <w:pPr>
        <w:jc w:val="both"/>
        <w:rPr>
          <w:color w:val="000000" w:themeColor="text1"/>
        </w:rPr>
      </w:pPr>
    </w:p>
    <w:p w:rsidR="00440E18" w:rsidRPr="006967A8" w:rsidRDefault="003E7B5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_Toc309840749"/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Выводы</w:t>
      </w:r>
      <w:bookmarkEnd w:id="27"/>
    </w:p>
    <w:p w:rsidR="00F16F9A" w:rsidRPr="006967A8" w:rsidRDefault="00F16F9A" w:rsidP="00F16F9A">
      <w:pPr>
        <w:rPr>
          <w:color w:val="000000" w:themeColor="text1"/>
        </w:rPr>
      </w:pPr>
    </w:p>
    <w:p w:rsidR="008A3B7A" w:rsidRPr="006967A8" w:rsidRDefault="008A3B7A" w:rsidP="001551B8">
      <w:pPr>
        <w:ind w:firstLine="708"/>
        <w:jc w:val="both"/>
        <w:rPr>
          <w:color w:val="000000" w:themeColor="text1"/>
        </w:rPr>
      </w:pPr>
      <w:r w:rsidRPr="006967A8">
        <w:rPr>
          <w:color w:val="000000" w:themeColor="text1"/>
        </w:rPr>
        <w:t>Реализация инвестиционного проекта позволит</w:t>
      </w:r>
      <w:r w:rsidR="008E14DB" w:rsidRPr="006967A8">
        <w:rPr>
          <w:color w:val="000000" w:themeColor="text1"/>
        </w:rPr>
        <w:t xml:space="preserve"> </w:t>
      </w:r>
      <w:r w:rsidRPr="006967A8">
        <w:rPr>
          <w:color w:val="000000" w:themeColor="text1"/>
        </w:rPr>
        <w:t>обеспечить:</w:t>
      </w:r>
    </w:p>
    <w:p w:rsidR="00A078AD" w:rsidRPr="006967A8" w:rsidRDefault="008A3B7A" w:rsidP="001551B8">
      <w:pPr>
        <w:jc w:val="both"/>
        <w:rPr>
          <w:color w:val="000000" w:themeColor="text1"/>
        </w:rPr>
      </w:pPr>
      <w:r w:rsidRPr="006967A8">
        <w:rPr>
          <w:color w:val="000000" w:themeColor="text1"/>
        </w:rPr>
        <w:t>- выполнение мероприятий по технологическому присоединению к электрическим сетям новых потребителей;</w:t>
      </w:r>
    </w:p>
    <w:p w:rsidR="008A3B7A" w:rsidRPr="006967A8" w:rsidRDefault="008A3B7A" w:rsidP="001551B8">
      <w:pPr>
        <w:jc w:val="both"/>
        <w:rPr>
          <w:color w:val="000000" w:themeColor="text1"/>
        </w:rPr>
      </w:pPr>
      <w:r w:rsidRPr="006967A8">
        <w:rPr>
          <w:color w:val="000000" w:themeColor="text1"/>
        </w:rPr>
        <w:t>- перспективное развитие электрохозяйства</w:t>
      </w:r>
      <w:r w:rsidR="00040ADD" w:rsidRPr="006967A8">
        <w:rPr>
          <w:color w:val="000000" w:themeColor="text1"/>
        </w:rPr>
        <w:t xml:space="preserve"> Зеленоградского</w:t>
      </w:r>
      <w:r w:rsidR="00102A47" w:rsidRPr="006967A8">
        <w:rPr>
          <w:color w:val="000000" w:themeColor="text1"/>
        </w:rPr>
        <w:t xml:space="preserve"> р-на</w:t>
      </w:r>
      <w:r w:rsidRPr="006967A8">
        <w:rPr>
          <w:color w:val="000000" w:themeColor="text1"/>
        </w:rPr>
        <w:t>;</w:t>
      </w:r>
    </w:p>
    <w:p w:rsidR="007554E4" w:rsidRPr="006967A8" w:rsidRDefault="008A3B7A" w:rsidP="001551B8">
      <w:pPr>
        <w:jc w:val="both"/>
        <w:rPr>
          <w:color w:val="000000" w:themeColor="text1"/>
        </w:rPr>
      </w:pPr>
      <w:r w:rsidRPr="006967A8">
        <w:rPr>
          <w:color w:val="000000" w:themeColor="text1"/>
        </w:rPr>
        <w:t>- уменьшение рисков работы электротехнического оборудования в недопустимых режимах.</w:t>
      </w:r>
    </w:p>
    <w:p w:rsidR="00F16F9A" w:rsidRPr="006967A8" w:rsidRDefault="00F16F9A">
      <w:pPr>
        <w:rPr>
          <w:color w:val="000000" w:themeColor="text1"/>
        </w:rPr>
      </w:pPr>
    </w:p>
    <w:p w:rsidR="00EB458E" w:rsidRPr="006967A8" w:rsidRDefault="00EB458E" w:rsidP="006C7765">
      <w:pPr>
        <w:ind w:firstLine="709"/>
        <w:jc w:val="both"/>
        <w:rPr>
          <w:color w:val="000000" w:themeColor="text1"/>
        </w:rPr>
      </w:pPr>
      <w:r w:rsidRPr="006967A8">
        <w:rPr>
          <w:color w:val="000000" w:themeColor="text1"/>
        </w:rPr>
        <w:t>Инвестиционный проект имеет также социальное значение, т.к. он обеспечивает создание новых рабочих мест (при создании новых и расширении имеющихся промышленных и торговых предприятий) и улучшает условия жизни населения за счет стабильного электроснабжения.</w:t>
      </w:r>
    </w:p>
    <w:p w:rsidR="007554E4" w:rsidRPr="008C60B7" w:rsidRDefault="007554E4" w:rsidP="00FB13A2">
      <w:pPr>
        <w:rPr>
          <w:color w:val="000000" w:themeColor="text1"/>
        </w:rPr>
      </w:pPr>
    </w:p>
    <w:sectPr w:rsidR="007554E4" w:rsidRPr="008C60B7" w:rsidSect="00B15E83">
      <w:footerReference w:type="default" r:id="rId16"/>
      <w:pgSz w:w="11906" w:h="16838"/>
      <w:pgMar w:top="1134" w:right="851" w:bottom="1134" w:left="1134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2A" w:rsidRDefault="0009722A" w:rsidP="00A26489">
      <w:r>
        <w:separator/>
      </w:r>
    </w:p>
  </w:endnote>
  <w:endnote w:type="continuationSeparator" w:id="0">
    <w:p w:rsidR="0009722A" w:rsidRDefault="0009722A" w:rsidP="00A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74"/>
      <w:gridCol w:w="817"/>
      <w:gridCol w:w="4280"/>
    </w:tblGrid>
    <w:tr w:rsidR="00B07B3A" w:rsidRPr="009B0310" w:rsidTr="002E59DA">
      <w:trPr>
        <w:jc w:val="center"/>
      </w:trPr>
      <w:tc>
        <w:tcPr>
          <w:tcW w:w="4474" w:type="dxa"/>
          <w:tcBorders>
            <w:top w:val="single" w:sz="4" w:space="0" w:color="auto"/>
          </w:tcBorders>
        </w:tcPr>
        <w:p w:rsidR="00B07B3A" w:rsidRDefault="00B07B3A" w:rsidP="002E59DA">
          <w:pPr>
            <w:rPr>
              <w:rStyle w:val="af4"/>
            </w:rPr>
          </w:pPr>
        </w:p>
      </w:tc>
      <w:tc>
        <w:tcPr>
          <w:tcW w:w="817" w:type="dxa"/>
          <w:tcBorders>
            <w:top w:val="single" w:sz="4" w:space="0" w:color="auto"/>
          </w:tcBorders>
          <w:vAlign w:val="center"/>
        </w:tcPr>
        <w:p w:rsidR="00B07B3A" w:rsidRPr="00766151" w:rsidRDefault="00FB6944" w:rsidP="002E59DA">
          <w:pPr>
            <w:jc w:val="center"/>
            <w:rPr>
              <w:rStyle w:val="af4"/>
            </w:rPr>
          </w:pPr>
          <w:r w:rsidRPr="00766151">
            <w:rPr>
              <w:rStyle w:val="af4"/>
            </w:rPr>
            <w:fldChar w:fldCharType="begin"/>
          </w:r>
          <w:r w:rsidR="00B07B3A" w:rsidRPr="00766151">
            <w:rPr>
              <w:rStyle w:val="af4"/>
            </w:rPr>
            <w:instrText xml:space="preserve"> PAGE </w:instrText>
          </w:r>
          <w:r w:rsidRPr="00766151">
            <w:rPr>
              <w:rStyle w:val="af4"/>
            </w:rPr>
            <w:fldChar w:fldCharType="separate"/>
          </w:r>
          <w:r w:rsidR="008711F0">
            <w:rPr>
              <w:rStyle w:val="af4"/>
              <w:noProof/>
            </w:rPr>
            <w:t>11</w:t>
          </w:r>
          <w:r w:rsidRPr="00766151">
            <w:rPr>
              <w:rStyle w:val="af4"/>
            </w:rPr>
            <w:fldChar w:fldCharType="end"/>
          </w:r>
        </w:p>
      </w:tc>
      <w:tc>
        <w:tcPr>
          <w:tcW w:w="4280" w:type="dxa"/>
          <w:tcBorders>
            <w:top w:val="single" w:sz="4" w:space="0" w:color="auto"/>
          </w:tcBorders>
        </w:tcPr>
        <w:p w:rsidR="00B07B3A" w:rsidRPr="00E46D0E" w:rsidRDefault="00B07B3A" w:rsidP="002E59DA">
          <w:pPr>
            <w:spacing w:before="120"/>
            <w:jc w:val="right"/>
            <w:rPr>
              <w:rStyle w:val="af4"/>
              <w:b/>
            </w:rPr>
          </w:pPr>
        </w:p>
      </w:tc>
    </w:tr>
  </w:tbl>
  <w:p w:rsidR="00B07B3A" w:rsidRPr="002E59DA" w:rsidRDefault="00B07B3A" w:rsidP="002E59DA">
    <w:pPr>
      <w:pStyle w:val="ad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2A" w:rsidRDefault="0009722A" w:rsidP="00A26489">
      <w:r>
        <w:separator/>
      </w:r>
    </w:p>
  </w:footnote>
  <w:footnote w:type="continuationSeparator" w:id="0">
    <w:p w:rsidR="0009722A" w:rsidRDefault="0009722A" w:rsidP="00A2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1F0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00E58"/>
    <w:multiLevelType w:val="hybridMultilevel"/>
    <w:tmpl w:val="0DAE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347B4"/>
    <w:multiLevelType w:val="hybridMultilevel"/>
    <w:tmpl w:val="F0A0D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9470C"/>
    <w:multiLevelType w:val="hybridMultilevel"/>
    <w:tmpl w:val="1EFCF7FE"/>
    <w:lvl w:ilvl="0" w:tplc="3CFC0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660105"/>
    <w:multiLevelType w:val="hybridMultilevel"/>
    <w:tmpl w:val="5746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E4A09"/>
    <w:multiLevelType w:val="hybridMultilevel"/>
    <w:tmpl w:val="0EFE8EC8"/>
    <w:lvl w:ilvl="0" w:tplc="11F66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11BC5"/>
    <w:multiLevelType w:val="hybridMultilevel"/>
    <w:tmpl w:val="2438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F29AA"/>
    <w:multiLevelType w:val="hybridMultilevel"/>
    <w:tmpl w:val="2A0C85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D83D3D"/>
    <w:multiLevelType w:val="singleLevel"/>
    <w:tmpl w:val="26C81704"/>
    <w:lvl w:ilvl="0">
      <w:numFmt w:val="bullet"/>
      <w:lvlText w:val="-"/>
      <w:lvlJc w:val="left"/>
      <w:pPr>
        <w:tabs>
          <w:tab w:val="num" w:pos="1324"/>
        </w:tabs>
        <w:ind w:left="0" w:firstLine="964"/>
      </w:pPr>
    </w:lvl>
  </w:abstractNum>
  <w:abstractNum w:abstractNumId="9" w15:restartNumberingAfterBreak="0">
    <w:nsid w:val="25B66BB4"/>
    <w:multiLevelType w:val="hybridMultilevel"/>
    <w:tmpl w:val="9BB4BDEC"/>
    <w:lvl w:ilvl="0" w:tplc="F7868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044DEA"/>
    <w:multiLevelType w:val="hybridMultilevel"/>
    <w:tmpl w:val="8358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E0D9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041CF9"/>
    <w:multiLevelType w:val="hybridMultilevel"/>
    <w:tmpl w:val="09A418C6"/>
    <w:lvl w:ilvl="0" w:tplc="009CB70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B1C2556"/>
    <w:multiLevelType w:val="hybridMultilevel"/>
    <w:tmpl w:val="04AED4DE"/>
    <w:lvl w:ilvl="0" w:tplc="8C1EF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53E03"/>
    <w:multiLevelType w:val="hybridMultilevel"/>
    <w:tmpl w:val="F75C0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D7D45"/>
    <w:multiLevelType w:val="hybridMultilevel"/>
    <w:tmpl w:val="458E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1D05C3"/>
    <w:multiLevelType w:val="hybridMultilevel"/>
    <w:tmpl w:val="57722D5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2F5E70"/>
    <w:multiLevelType w:val="hybridMultilevel"/>
    <w:tmpl w:val="7140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B0DEC"/>
    <w:multiLevelType w:val="hybridMultilevel"/>
    <w:tmpl w:val="B3ECD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D6D2D"/>
    <w:multiLevelType w:val="hybridMultilevel"/>
    <w:tmpl w:val="5D4A79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18"/>
  </w:num>
  <w:num w:numId="6">
    <w:abstractNumId w:val="2"/>
  </w:num>
  <w:num w:numId="7">
    <w:abstractNumId w:val="7"/>
  </w:num>
  <w:num w:numId="8">
    <w:abstractNumId w:val="16"/>
  </w:num>
  <w:num w:numId="9">
    <w:abstractNumId w:val="6"/>
  </w:num>
  <w:num w:numId="10">
    <w:abstractNumId w:val="14"/>
  </w:num>
  <w:num w:numId="11">
    <w:abstractNumId w:val="10"/>
  </w:num>
  <w:num w:numId="12">
    <w:abstractNumId w:val="5"/>
  </w:num>
  <w:num w:numId="13">
    <w:abstractNumId w:val="19"/>
  </w:num>
  <w:num w:numId="14">
    <w:abstractNumId w:val="0"/>
  </w:num>
  <w:num w:numId="15">
    <w:abstractNumId w:val="4"/>
  </w:num>
  <w:num w:numId="16">
    <w:abstractNumId w:val="17"/>
  </w:num>
  <w:num w:numId="17">
    <w:abstractNumId w:val="15"/>
  </w:num>
  <w:num w:numId="18">
    <w:abstractNumId w:va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3"/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A7D"/>
    <w:rsid w:val="00001726"/>
    <w:rsid w:val="000068B9"/>
    <w:rsid w:val="000070B7"/>
    <w:rsid w:val="00007A4C"/>
    <w:rsid w:val="0001190F"/>
    <w:rsid w:val="000156B9"/>
    <w:rsid w:val="0001575D"/>
    <w:rsid w:val="0002171F"/>
    <w:rsid w:val="00022611"/>
    <w:rsid w:val="00023C89"/>
    <w:rsid w:val="00026609"/>
    <w:rsid w:val="00026C93"/>
    <w:rsid w:val="000322E8"/>
    <w:rsid w:val="0003637A"/>
    <w:rsid w:val="00040ADD"/>
    <w:rsid w:val="00043AB5"/>
    <w:rsid w:val="00044E31"/>
    <w:rsid w:val="00047B1F"/>
    <w:rsid w:val="00050CAC"/>
    <w:rsid w:val="00051636"/>
    <w:rsid w:val="000518B8"/>
    <w:rsid w:val="000542B0"/>
    <w:rsid w:val="00055395"/>
    <w:rsid w:val="0005539A"/>
    <w:rsid w:val="00055A8C"/>
    <w:rsid w:val="00057385"/>
    <w:rsid w:val="000604B3"/>
    <w:rsid w:val="0006355E"/>
    <w:rsid w:val="00065650"/>
    <w:rsid w:val="00066907"/>
    <w:rsid w:val="00070D42"/>
    <w:rsid w:val="00073E85"/>
    <w:rsid w:val="00075CE6"/>
    <w:rsid w:val="00080815"/>
    <w:rsid w:val="00080D41"/>
    <w:rsid w:val="00083906"/>
    <w:rsid w:val="0008485B"/>
    <w:rsid w:val="000853A3"/>
    <w:rsid w:val="000858EF"/>
    <w:rsid w:val="00091AC3"/>
    <w:rsid w:val="00096E94"/>
    <w:rsid w:val="0009722A"/>
    <w:rsid w:val="000A17FC"/>
    <w:rsid w:val="000A6B9D"/>
    <w:rsid w:val="000B19E0"/>
    <w:rsid w:val="000B79F5"/>
    <w:rsid w:val="000C1ADD"/>
    <w:rsid w:val="000C4805"/>
    <w:rsid w:val="000C6664"/>
    <w:rsid w:val="000C6851"/>
    <w:rsid w:val="000E0278"/>
    <w:rsid w:val="000E02BC"/>
    <w:rsid w:val="000E2E9E"/>
    <w:rsid w:val="000E6A51"/>
    <w:rsid w:val="0010211E"/>
    <w:rsid w:val="00102A47"/>
    <w:rsid w:val="00105FA9"/>
    <w:rsid w:val="00120AE2"/>
    <w:rsid w:val="00122C5F"/>
    <w:rsid w:val="00122CF8"/>
    <w:rsid w:val="00123B5F"/>
    <w:rsid w:val="00130FBA"/>
    <w:rsid w:val="00134885"/>
    <w:rsid w:val="0013756C"/>
    <w:rsid w:val="00137CCD"/>
    <w:rsid w:val="0014275C"/>
    <w:rsid w:val="00144A70"/>
    <w:rsid w:val="00145944"/>
    <w:rsid w:val="00150A87"/>
    <w:rsid w:val="00152142"/>
    <w:rsid w:val="00153E15"/>
    <w:rsid w:val="001551B8"/>
    <w:rsid w:val="00156AF4"/>
    <w:rsid w:val="00163CE6"/>
    <w:rsid w:val="001658F9"/>
    <w:rsid w:val="00166849"/>
    <w:rsid w:val="001703BB"/>
    <w:rsid w:val="00180647"/>
    <w:rsid w:val="00180985"/>
    <w:rsid w:val="00180DBC"/>
    <w:rsid w:val="00186748"/>
    <w:rsid w:val="00187070"/>
    <w:rsid w:val="001A52D3"/>
    <w:rsid w:val="001B3FA4"/>
    <w:rsid w:val="001C1C58"/>
    <w:rsid w:val="001C26CC"/>
    <w:rsid w:val="001C3E89"/>
    <w:rsid w:val="001D2938"/>
    <w:rsid w:val="001D4BB9"/>
    <w:rsid w:val="001D7F1E"/>
    <w:rsid w:val="001E11F1"/>
    <w:rsid w:val="001E21C5"/>
    <w:rsid w:val="001E53C8"/>
    <w:rsid w:val="001E5722"/>
    <w:rsid w:val="001E6E7E"/>
    <w:rsid w:val="001F298E"/>
    <w:rsid w:val="001F6C60"/>
    <w:rsid w:val="002000E0"/>
    <w:rsid w:val="002108AC"/>
    <w:rsid w:val="002201FA"/>
    <w:rsid w:val="002215A0"/>
    <w:rsid w:val="00226C4C"/>
    <w:rsid w:val="002315E5"/>
    <w:rsid w:val="002336DC"/>
    <w:rsid w:val="00236318"/>
    <w:rsid w:val="0024121C"/>
    <w:rsid w:val="002414DE"/>
    <w:rsid w:val="00243358"/>
    <w:rsid w:val="00244366"/>
    <w:rsid w:val="00244596"/>
    <w:rsid w:val="002452ED"/>
    <w:rsid w:val="002460A8"/>
    <w:rsid w:val="002512E0"/>
    <w:rsid w:val="00252E3A"/>
    <w:rsid w:val="002566A7"/>
    <w:rsid w:val="00257E2F"/>
    <w:rsid w:val="002642A5"/>
    <w:rsid w:val="00264695"/>
    <w:rsid w:val="00264C1E"/>
    <w:rsid w:val="00264F80"/>
    <w:rsid w:val="002666ED"/>
    <w:rsid w:val="0027388A"/>
    <w:rsid w:val="002800C9"/>
    <w:rsid w:val="00280129"/>
    <w:rsid w:val="002872D9"/>
    <w:rsid w:val="00292066"/>
    <w:rsid w:val="002A4DAD"/>
    <w:rsid w:val="002A58F6"/>
    <w:rsid w:val="002B2C24"/>
    <w:rsid w:val="002B429A"/>
    <w:rsid w:val="002C2798"/>
    <w:rsid w:val="002C70C8"/>
    <w:rsid w:val="002D2F03"/>
    <w:rsid w:val="002D7949"/>
    <w:rsid w:val="002E06AE"/>
    <w:rsid w:val="002E075E"/>
    <w:rsid w:val="002E0D42"/>
    <w:rsid w:val="002E19AA"/>
    <w:rsid w:val="002E24A6"/>
    <w:rsid w:val="002E31F0"/>
    <w:rsid w:val="002E59DA"/>
    <w:rsid w:val="002F62DB"/>
    <w:rsid w:val="00301FBC"/>
    <w:rsid w:val="00302F02"/>
    <w:rsid w:val="00305CD7"/>
    <w:rsid w:val="003076AF"/>
    <w:rsid w:val="00310362"/>
    <w:rsid w:val="00317455"/>
    <w:rsid w:val="00317C60"/>
    <w:rsid w:val="00317EB8"/>
    <w:rsid w:val="00320CA6"/>
    <w:rsid w:val="0032158A"/>
    <w:rsid w:val="003233B2"/>
    <w:rsid w:val="0033247F"/>
    <w:rsid w:val="003327F5"/>
    <w:rsid w:val="00334FE9"/>
    <w:rsid w:val="003430BB"/>
    <w:rsid w:val="00343EDF"/>
    <w:rsid w:val="003455D6"/>
    <w:rsid w:val="00347C97"/>
    <w:rsid w:val="00353E04"/>
    <w:rsid w:val="00354D56"/>
    <w:rsid w:val="003645C9"/>
    <w:rsid w:val="00366948"/>
    <w:rsid w:val="00366A46"/>
    <w:rsid w:val="0036719B"/>
    <w:rsid w:val="0037159A"/>
    <w:rsid w:val="00373323"/>
    <w:rsid w:val="00375D26"/>
    <w:rsid w:val="00381CE3"/>
    <w:rsid w:val="0038336E"/>
    <w:rsid w:val="00385D7D"/>
    <w:rsid w:val="0039035F"/>
    <w:rsid w:val="00394437"/>
    <w:rsid w:val="0039530C"/>
    <w:rsid w:val="0039786F"/>
    <w:rsid w:val="003A1EA5"/>
    <w:rsid w:val="003A35FA"/>
    <w:rsid w:val="003A6379"/>
    <w:rsid w:val="003A7E1B"/>
    <w:rsid w:val="003B0EF0"/>
    <w:rsid w:val="003B2B65"/>
    <w:rsid w:val="003C21E6"/>
    <w:rsid w:val="003C73D2"/>
    <w:rsid w:val="003D462F"/>
    <w:rsid w:val="003D7835"/>
    <w:rsid w:val="003E145C"/>
    <w:rsid w:val="003E3D1D"/>
    <w:rsid w:val="003E4225"/>
    <w:rsid w:val="003E5217"/>
    <w:rsid w:val="003E5FDE"/>
    <w:rsid w:val="003E7B52"/>
    <w:rsid w:val="003F197A"/>
    <w:rsid w:val="003F1EBF"/>
    <w:rsid w:val="003F42B9"/>
    <w:rsid w:val="003F4C6D"/>
    <w:rsid w:val="003F689E"/>
    <w:rsid w:val="004033C6"/>
    <w:rsid w:val="0040597F"/>
    <w:rsid w:val="004070DD"/>
    <w:rsid w:val="004126F9"/>
    <w:rsid w:val="004167AC"/>
    <w:rsid w:val="0042141E"/>
    <w:rsid w:val="004214AF"/>
    <w:rsid w:val="00422145"/>
    <w:rsid w:val="00427CCA"/>
    <w:rsid w:val="0043501F"/>
    <w:rsid w:val="00440872"/>
    <w:rsid w:val="00440E18"/>
    <w:rsid w:val="00442CDC"/>
    <w:rsid w:val="00445E94"/>
    <w:rsid w:val="00447260"/>
    <w:rsid w:val="004472EB"/>
    <w:rsid w:val="00454B20"/>
    <w:rsid w:val="004613AC"/>
    <w:rsid w:val="0046152A"/>
    <w:rsid w:val="00467C2A"/>
    <w:rsid w:val="00486716"/>
    <w:rsid w:val="00492C6E"/>
    <w:rsid w:val="00496E1B"/>
    <w:rsid w:val="004972EC"/>
    <w:rsid w:val="004A0465"/>
    <w:rsid w:val="004A30A1"/>
    <w:rsid w:val="004A3266"/>
    <w:rsid w:val="004A41F6"/>
    <w:rsid w:val="004A6819"/>
    <w:rsid w:val="004A6AF0"/>
    <w:rsid w:val="004A71CA"/>
    <w:rsid w:val="004B2A0D"/>
    <w:rsid w:val="004B30D9"/>
    <w:rsid w:val="004B5BCE"/>
    <w:rsid w:val="004B77F9"/>
    <w:rsid w:val="004C58A8"/>
    <w:rsid w:val="004D03AF"/>
    <w:rsid w:val="004D4480"/>
    <w:rsid w:val="004D4D78"/>
    <w:rsid w:val="004D5055"/>
    <w:rsid w:val="004E5789"/>
    <w:rsid w:val="004F3554"/>
    <w:rsid w:val="004F4697"/>
    <w:rsid w:val="00510896"/>
    <w:rsid w:val="0051396D"/>
    <w:rsid w:val="00520902"/>
    <w:rsid w:val="00522593"/>
    <w:rsid w:val="00524485"/>
    <w:rsid w:val="005273DF"/>
    <w:rsid w:val="00532555"/>
    <w:rsid w:val="005328D2"/>
    <w:rsid w:val="00534297"/>
    <w:rsid w:val="00535930"/>
    <w:rsid w:val="0053699A"/>
    <w:rsid w:val="00537E66"/>
    <w:rsid w:val="005409B2"/>
    <w:rsid w:val="00543A0C"/>
    <w:rsid w:val="00543A82"/>
    <w:rsid w:val="00545CE9"/>
    <w:rsid w:val="00545E89"/>
    <w:rsid w:val="00551AFD"/>
    <w:rsid w:val="00556CA4"/>
    <w:rsid w:val="00557FFC"/>
    <w:rsid w:val="00561231"/>
    <w:rsid w:val="00561AF8"/>
    <w:rsid w:val="005638E6"/>
    <w:rsid w:val="0056754D"/>
    <w:rsid w:val="00580E4D"/>
    <w:rsid w:val="00580EE0"/>
    <w:rsid w:val="0058328A"/>
    <w:rsid w:val="00583471"/>
    <w:rsid w:val="0058593D"/>
    <w:rsid w:val="005940A9"/>
    <w:rsid w:val="00596280"/>
    <w:rsid w:val="005A3B64"/>
    <w:rsid w:val="005A5C99"/>
    <w:rsid w:val="005B1B46"/>
    <w:rsid w:val="005B1BBC"/>
    <w:rsid w:val="005B1CBC"/>
    <w:rsid w:val="005B39E2"/>
    <w:rsid w:val="005B3C9F"/>
    <w:rsid w:val="005B44FD"/>
    <w:rsid w:val="005C4113"/>
    <w:rsid w:val="005C7B59"/>
    <w:rsid w:val="005D22BB"/>
    <w:rsid w:val="005D2BF4"/>
    <w:rsid w:val="005E0E3C"/>
    <w:rsid w:val="005E1C56"/>
    <w:rsid w:val="005E34B6"/>
    <w:rsid w:val="005E414D"/>
    <w:rsid w:val="005E5979"/>
    <w:rsid w:val="005E7044"/>
    <w:rsid w:val="005E7C36"/>
    <w:rsid w:val="005F0970"/>
    <w:rsid w:val="005F2A99"/>
    <w:rsid w:val="005F3600"/>
    <w:rsid w:val="005F383C"/>
    <w:rsid w:val="0061743F"/>
    <w:rsid w:val="006177AB"/>
    <w:rsid w:val="00625E5D"/>
    <w:rsid w:val="0062621A"/>
    <w:rsid w:val="006320B2"/>
    <w:rsid w:val="00632EB7"/>
    <w:rsid w:val="00635688"/>
    <w:rsid w:val="00636BE7"/>
    <w:rsid w:val="0064069D"/>
    <w:rsid w:val="00643926"/>
    <w:rsid w:val="00657A8B"/>
    <w:rsid w:val="006601DD"/>
    <w:rsid w:val="00660B85"/>
    <w:rsid w:val="00660F72"/>
    <w:rsid w:val="0066218D"/>
    <w:rsid w:val="0066784F"/>
    <w:rsid w:val="0067257C"/>
    <w:rsid w:val="00674FF9"/>
    <w:rsid w:val="00686A1A"/>
    <w:rsid w:val="00690A0C"/>
    <w:rsid w:val="00691624"/>
    <w:rsid w:val="00691E39"/>
    <w:rsid w:val="00691FA4"/>
    <w:rsid w:val="00694BC2"/>
    <w:rsid w:val="006967A8"/>
    <w:rsid w:val="00697CBE"/>
    <w:rsid w:val="006A0345"/>
    <w:rsid w:val="006A2936"/>
    <w:rsid w:val="006A4C1A"/>
    <w:rsid w:val="006B4AAA"/>
    <w:rsid w:val="006C113F"/>
    <w:rsid w:val="006C3B71"/>
    <w:rsid w:val="006C7765"/>
    <w:rsid w:val="006D087B"/>
    <w:rsid w:val="006D0B0F"/>
    <w:rsid w:val="006D1A2E"/>
    <w:rsid w:val="006D7C09"/>
    <w:rsid w:val="006D7C22"/>
    <w:rsid w:val="006E2231"/>
    <w:rsid w:val="006E24FA"/>
    <w:rsid w:val="006E4B3A"/>
    <w:rsid w:val="006E5543"/>
    <w:rsid w:val="006F147F"/>
    <w:rsid w:val="006F18D3"/>
    <w:rsid w:val="006F1A85"/>
    <w:rsid w:val="006F1D6D"/>
    <w:rsid w:val="006F667D"/>
    <w:rsid w:val="006F6E36"/>
    <w:rsid w:val="006F7509"/>
    <w:rsid w:val="00700753"/>
    <w:rsid w:val="00700F26"/>
    <w:rsid w:val="00702052"/>
    <w:rsid w:val="00705072"/>
    <w:rsid w:val="00711BA1"/>
    <w:rsid w:val="00713732"/>
    <w:rsid w:val="00716CF8"/>
    <w:rsid w:val="007201E7"/>
    <w:rsid w:val="00720549"/>
    <w:rsid w:val="00721009"/>
    <w:rsid w:val="00721AC4"/>
    <w:rsid w:val="00724899"/>
    <w:rsid w:val="007330FD"/>
    <w:rsid w:val="0073333A"/>
    <w:rsid w:val="00741992"/>
    <w:rsid w:val="007448C5"/>
    <w:rsid w:val="00744A59"/>
    <w:rsid w:val="00752F17"/>
    <w:rsid w:val="007536A8"/>
    <w:rsid w:val="00753D58"/>
    <w:rsid w:val="007554E4"/>
    <w:rsid w:val="00760A65"/>
    <w:rsid w:val="00760D7F"/>
    <w:rsid w:val="00761790"/>
    <w:rsid w:val="00762B0A"/>
    <w:rsid w:val="0076615E"/>
    <w:rsid w:val="00767281"/>
    <w:rsid w:val="00767C72"/>
    <w:rsid w:val="007721D4"/>
    <w:rsid w:val="007731E7"/>
    <w:rsid w:val="00773A2B"/>
    <w:rsid w:val="007752C5"/>
    <w:rsid w:val="0077583F"/>
    <w:rsid w:val="00775A77"/>
    <w:rsid w:val="007805D5"/>
    <w:rsid w:val="007906E9"/>
    <w:rsid w:val="0079436E"/>
    <w:rsid w:val="00794A5F"/>
    <w:rsid w:val="00796563"/>
    <w:rsid w:val="00796EA7"/>
    <w:rsid w:val="00797C49"/>
    <w:rsid w:val="007A2D70"/>
    <w:rsid w:val="007A7453"/>
    <w:rsid w:val="007B0F71"/>
    <w:rsid w:val="007B269B"/>
    <w:rsid w:val="007B6107"/>
    <w:rsid w:val="007B7801"/>
    <w:rsid w:val="007B7FD3"/>
    <w:rsid w:val="007C099C"/>
    <w:rsid w:val="007C2DF1"/>
    <w:rsid w:val="007C7709"/>
    <w:rsid w:val="007D2A10"/>
    <w:rsid w:val="007D5D82"/>
    <w:rsid w:val="007D76CF"/>
    <w:rsid w:val="007E058D"/>
    <w:rsid w:val="007E4789"/>
    <w:rsid w:val="007E7C41"/>
    <w:rsid w:val="007F1BD8"/>
    <w:rsid w:val="007F2E51"/>
    <w:rsid w:val="007F3334"/>
    <w:rsid w:val="007F562B"/>
    <w:rsid w:val="007F5E38"/>
    <w:rsid w:val="007F6067"/>
    <w:rsid w:val="007F6937"/>
    <w:rsid w:val="0080113B"/>
    <w:rsid w:val="00802B44"/>
    <w:rsid w:val="00802E49"/>
    <w:rsid w:val="00804B74"/>
    <w:rsid w:val="00807F0B"/>
    <w:rsid w:val="00810EF9"/>
    <w:rsid w:val="008145E9"/>
    <w:rsid w:val="00820DD9"/>
    <w:rsid w:val="008214DF"/>
    <w:rsid w:val="008233A1"/>
    <w:rsid w:val="00836F0A"/>
    <w:rsid w:val="00837D11"/>
    <w:rsid w:val="008406ED"/>
    <w:rsid w:val="008429E8"/>
    <w:rsid w:val="00842B5C"/>
    <w:rsid w:val="00844104"/>
    <w:rsid w:val="008527DA"/>
    <w:rsid w:val="00856D03"/>
    <w:rsid w:val="00860CC7"/>
    <w:rsid w:val="00863563"/>
    <w:rsid w:val="00864ABD"/>
    <w:rsid w:val="008703EF"/>
    <w:rsid w:val="008711F0"/>
    <w:rsid w:val="00871628"/>
    <w:rsid w:val="00872132"/>
    <w:rsid w:val="00875C80"/>
    <w:rsid w:val="00876CD0"/>
    <w:rsid w:val="00880735"/>
    <w:rsid w:val="00883B37"/>
    <w:rsid w:val="00885BA8"/>
    <w:rsid w:val="00891745"/>
    <w:rsid w:val="00894E28"/>
    <w:rsid w:val="008951F3"/>
    <w:rsid w:val="008A0DA1"/>
    <w:rsid w:val="008A0E37"/>
    <w:rsid w:val="008A112A"/>
    <w:rsid w:val="008A3B7A"/>
    <w:rsid w:val="008B3196"/>
    <w:rsid w:val="008B31EF"/>
    <w:rsid w:val="008B5DE4"/>
    <w:rsid w:val="008C60B7"/>
    <w:rsid w:val="008D1136"/>
    <w:rsid w:val="008D3ED0"/>
    <w:rsid w:val="008E14DB"/>
    <w:rsid w:val="008E436A"/>
    <w:rsid w:val="008F080D"/>
    <w:rsid w:val="009016DB"/>
    <w:rsid w:val="009020EB"/>
    <w:rsid w:val="009062D1"/>
    <w:rsid w:val="009067A4"/>
    <w:rsid w:val="00910739"/>
    <w:rsid w:val="00910A9C"/>
    <w:rsid w:val="009117F4"/>
    <w:rsid w:val="00913A3D"/>
    <w:rsid w:val="00915513"/>
    <w:rsid w:val="00925D83"/>
    <w:rsid w:val="009303FB"/>
    <w:rsid w:val="00932997"/>
    <w:rsid w:val="00934E27"/>
    <w:rsid w:val="00943345"/>
    <w:rsid w:val="00943525"/>
    <w:rsid w:val="009436C0"/>
    <w:rsid w:val="00947DF4"/>
    <w:rsid w:val="00955070"/>
    <w:rsid w:val="0096251A"/>
    <w:rsid w:val="00970816"/>
    <w:rsid w:val="009732FE"/>
    <w:rsid w:val="00974414"/>
    <w:rsid w:val="00974FCE"/>
    <w:rsid w:val="00975E60"/>
    <w:rsid w:val="00977B30"/>
    <w:rsid w:val="00980918"/>
    <w:rsid w:val="0098769E"/>
    <w:rsid w:val="009900E6"/>
    <w:rsid w:val="00992DCD"/>
    <w:rsid w:val="009942B6"/>
    <w:rsid w:val="009975F8"/>
    <w:rsid w:val="009A0D8C"/>
    <w:rsid w:val="009A40F7"/>
    <w:rsid w:val="009B4969"/>
    <w:rsid w:val="009B673B"/>
    <w:rsid w:val="009C0C6B"/>
    <w:rsid w:val="009C76DF"/>
    <w:rsid w:val="009D562E"/>
    <w:rsid w:val="009D6917"/>
    <w:rsid w:val="009E01E1"/>
    <w:rsid w:val="009E59A0"/>
    <w:rsid w:val="009F32F2"/>
    <w:rsid w:val="009F43DB"/>
    <w:rsid w:val="009F7F9E"/>
    <w:rsid w:val="00A078AD"/>
    <w:rsid w:val="00A1509E"/>
    <w:rsid w:val="00A22C9B"/>
    <w:rsid w:val="00A26489"/>
    <w:rsid w:val="00A32623"/>
    <w:rsid w:val="00A3451A"/>
    <w:rsid w:val="00A35EC0"/>
    <w:rsid w:val="00A35EC5"/>
    <w:rsid w:val="00A41D90"/>
    <w:rsid w:val="00A447DE"/>
    <w:rsid w:val="00A459A9"/>
    <w:rsid w:val="00A4670E"/>
    <w:rsid w:val="00A475C1"/>
    <w:rsid w:val="00A51B6F"/>
    <w:rsid w:val="00A55064"/>
    <w:rsid w:val="00A55D4C"/>
    <w:rsid w:val="00A56A90"/>
    <w:rsid w:val="00A618F8"/>
    <w:rsid w:val="00A71170"/>
    <w:rsid w:val="00A72B88"/>
    <w:rsid w:val="00A8187A"/>
    <w:rsid w:val="00A83BF8"/>
    <w:rsid w:val="00A876FB"/>
    <w:rsid w:val="00A963F3"/>
    <w:rsid w:val="00A9711E"/>
    <w:rsid w:val="00A978A9"/>
    <w:rsid w:val="00AA1487"/>
    <w:rsid w:val="00AA4BD3"/>
    <w:rsid w:val="00AA791C"/>
    <w:rsid w:val="00AB1A02"/>
    <w:rsid w:val="00AB23D8"/>
    <w:rsid w:val="00AB5047"/>
    <w:rsid w:val="00AC0A51"/>
    <w:rsid w:val="00AC2696"/>
    <w:rsid w:val="00AC43D9"/>
    <w:rsid w:val="00AC56FB"/>
    <w:rsid w:val="00AD4E22"/>
    <w:rsid w:val="00AD618F"/>
    <w:rsid w:val="00AE50CE"/>
    <w:rsid w:val="00AE55DE"/>
    <w:rsid w:val="00AE60F4"/>
    <w:rsid w:val="00AF0E9F"/>
    <w:rsid w:val="00AF2A01"/>
    <w:rsid w:val="00AF64FF"/>
    <w:rsid w:val="00AF7131"/>
    <w:rsid w:val="00AF7810"/>
    <w:rsid w:val="00B02172"/>
    <w:rsid w:val="00B033AD"/>
    <w:rsid w:val="00B03ED1"/>
    <w:rsid w:val="00B049B7"/>
    <w:rsid w:val="00B07B3A"/>
    <w:rsid w:val="00B15BCE"/>
    <w:rsid w:val="00B15E83"/>
    <w:rsid w:val="00B21E05"/>
    <w:rsid w:val="00B22906"/>
    <w:rsid w:val="00B2528B"/>
    <w:rsid w:val="00B2561C"/>
    <w:rsid w:val="00B26FC3"/>
    <w:rsid w:val="00B2747F"/>
    <w:rsid w:val="00B27B7C"/>
    <w:rsid w:val="00B31220"/>
    <w:rsid w:val="00B31C30"/>
    <w:rsid w:val="00B322F2"/>
    <w:rsid w:val="00B32961"/>
    <w:rsid w:val="00B334B6"/>
    <w:rsid w:val="00B36260"/>
    <w:rsid w:val="00B370BC"/>
    <w:rsid w:val="00B40DF2"/>
    <w:rsid w:val="00B505CC"/>
    <w:rsid w:val="00B51204"/>
    <w:rsid w:val="00B56AF6"/>
    <w:rsid w:val="00B5763B"/>
    <w:rsid w:val="00B60823"/>
    <w:rsid w:val="00B652D4"/>
    <w:rsid w:val="00B71C37"/>
    <w:rsid w:val="00B73B87"/>
    <w:rsid w:val="00B83E35"/>
    <w:rsid w:val="00B849BF"/>
    <w:rsid w:val="00B91D20"/>
    <w:rsid w:val="00BA5546"/>
    <w:rsid w:val="00BB477B"/>
    <w:rsid w:val="00BB5511"/>
    <w:rsid w:val="00BC05A7"/>
    <w:rsid w:val="00BC0722"/>
    <w:rsid w:val="00BC111B"/>
    <w:rsid w:val="00BC4108"/>
    <w:rsid w:val="00BC775F"/>
    <w:rsid w:val="00BD0C30"/>
    <w:rsid w:val="00BD1ABF"/>
    <w:rsid w:val="00BD1D96"/>
    <w:rsid w:val="00BD4CF8"/>
    <w:rsid w:val="00BD7B25"/>
    <w:rsid w:val="00BE0337"/>
    <w:rsid w:val="00BE400E"/>
    <w:rsid w:val="00BF0E0E"/>
    <w:rsid w:val="00BF4922"/>
    <w:rsid w:val="00BF5025"/>
    <w:rsid w:val="00BF5B29"/>
    <w:rsid w:val="00C006ED"/>
    <w:rsid w:val="00C009BE"/>
    <w:rsid w:val="00C01891"/>
    <w:rsid w:val="00C01A61"/>
    <w:rsid w:val="00C023FE"/>
    <w:rsid w:val="00C11CDB"/>
    <w:rsid w:val="00C16B90"/>
    <w:rsid w:val="00C216B0"/>
    <w:rsid w:val="00C263D8"/>
    <w:rsid w:val="00C27DE3"/>
    <w:rsid w:val="00C3023F"/>
    <w:rsid w:val="00C34F87"/>
    <w:rsid w:val="00C366DF"/>
    <w:rsid w:val="00C4003D"/>
    <w:rsid w:val="00C43EC8"/>
    <w:rsid w:val="00C5096A"/>
    <w:rsid w:val="00C53CB7"/>
    <w:rsid w:val="00C61D6F"/>
    <w:rsid w:val="00C6209B"/>
    <w:rsid w:val="00C64884"/>
    <w:rsid w:val="00C6742F"/>
    <w:rsid w:val="00C751AD"/>
    <w:rsid w:val="00C80E69"/>
    <w:rsid w:val="00C80F73"/>
    <w:rsid w:val="00C8745C"/>
    <w:rsid w:val="00C91D47"/>
    <w:rsid w:val="00CA1771"/>
    <w:rsid w:val="00CB0B89"/>
    <w:rsid w:val="00CB4645"/>
    <w:rsid w:val="00CB59E1"/>
    <w:rsid w:val="00CB7E2B"/>
    <w:rsid w:val="00CC1DF6"/>
    <w:rsid w:val="00CC24D0"/>
    <w:rsid w:val="00CC68DC"/>
    <w:rsid w:val="00CD1891"/>
    <w:rsid w:val="00CE4CC0"/>
    <w:rsid w:val="00CE7A7D"/>
    <w:rsid w:val="00CF16A6"/>
    <w:rsid w:val="00CF5E9B"/>
    <w:rsid w:val="00D02244"/>
    <w:rsid w:val="00D02C17"/>
    <w:rsid w:val="00D07923"/>
    <w:rsid w:val="00D11646"/>
    <w:rsid w:val="00D12673"/>
    <w:rsid w:val="00D13B06"/>
    <w:rsid w:val="00D17C61"/>
    <w:rsid w:val="00D2029B"/>
    <w:rsid w:val="00D21164"/>
    <w:rsid w:val="00D22F1E"/>
    <w:rsid w:val="00D235A9"/>
    <w:rsid w:val="00D25EE8"/>
    <w:rsid w:val="00D26B36"/>
    <w:rsid w:val="00D305E5"/>
    <w:rsid w:val="00D32133"/>
    <w:rsid w:val="00D323EC"/>
    <w:rsid w:val="00D35B47"/>
    <w:rsid w:val="00D42FC6"/>
    <w:rsid w:val="00D46464"/>
    <w:rsid w:val="00D56C45"/>
    <w:rsid w:val="00D60BCC"/>
    <w:rsid w:val="00D62856"/>
    <w:rsid w:val="00D64190"/>
    <w:rsid w:val="00D66C43"/>
    <w:rsid w:val="00D70C77"/>
    <w:rsid w:val="00D75583"/>
    <w:rsid w:val="00D77BA4"/>
    <w:rsid w:val="00D83FB0"/>
    <w:rsid w:val="00D85BF7"/>
    <w:rsid w:val="00DA0714"/>
    <w:rsid w:val="00DA4A55"/>
    <w:rsid w:val="00DA5BD1"/>
    <w:rsid w:val="00DA745C"/>
    <w:rsid w:val="00DB0600"/>
    <w:rsid w:val="00DB2FE3"/>
    <w:rsid w:val="00DB399E"/>
    <w:rsid w:val="00DB42F5"/>
    <w:rsid w:val="00DB4FD7"/>
    <w:rsid w:val="00DC0A29"/>
    <w:rsid w:val="00DC4BDB"/>
    <w:rsid w:val="00DC68B2"/>
    <w:rsid w:val="00DC7739"/>
    <w:rsid w:val="00DD1D71"/>
    <w:rsid w:val="00DD39D8"/>
    <w:rsid w:val="00DE0AAB"/>
    <w:rsid w:val="00DE25E3"/>
    <w:rsid w:val="00DE2835"/>
    <w:rsid w:val="00DE49E5"/>
    <w:rsid w:val="00DF0B03"/>
    <w:rsid w:val="00DF2F6E"/>
    <w:rsid w:val="00DF71EE"/>
    <w:rsid w:val="00DF724E"/>
    <w:rsid w:val="00E10557"/>
    <w:rsid w:val="00E17230"/>
    <w:rsid w:val="00E319C0"/>
    <w:rsid w:val="00E3335F"/>
    <w:rsid w:val="00E33952"/>
    <w:rsid w:val="00E42C54"/>
    <w:rsid w:val="00E45F73"/>
    <w:rsid w:val="00E47A49"/>
    <w:rsid w:val="00E526B4"/>
    <w:rsid w:val="00E54058"/>
    <w:rsid w:val="00E545C4"/>
    <w:rsid w:val="00E560B6"/>
    <w:rsid w:val="00E60DCB"/>
    <w:rsid w:val="00E62D43"/>
    <w:rsid w:val="00E64ABE"/>
    <w:rsid w:val="00E703F0"/>
    <w:rsid w:val="00E72FC5"/>
    <w:rsid w:val="00E73DE3"/>
    <w:rsid w:val="00E748F9"/>
    <w:rsid w:val="00E772BE"/>
    <w:rsid w:val="00E83A59"/>
    <w:rsid w:val="00E9078B"/>
    <w:rsid w:val="00E92226"/>
    <w:rsid w:val="00E933BA"/>
    <w:rsid w:val="00EA0D1E"/>
    <w:rsid w:val="00EA3728"/>
    <w:rsid w:val="00EB050D"/>
    <w:rsid w:val="00EB2131"/>
    <w:rsid w:val="00EB458E"/>
    <w:rsid w:val="00EC08F6"/>
    <w:rsid w:val="00EC1C2F"/>
    <w:rsid w:val="00EC37D4"/>
    <w:rsid w:val="00EC64EC"/>
    <w:rsid w:val="00EC7021"/>
    <w:rsid w:val="00EC7749"/>
    <w:rsid w:val="00ED55DA"/>
    <w:rsid w:val="00ED648E"/>
    <w:rsid w:val="00ED7318"/>
    <w:rsid w:val="00ED7461"/>
    <w:rsid w:val="00EE07DE"/>
    <w:rsid w:val="00EE0B8C"/>
    <w:rsid w:val="00EE23AF"/>
    <w:rsid w:val="00EF7DE5"/>
    <w:rsid w:val="00F01159"/>
    <w:rsid w:val="00F101D5"/>
    <w:rsid w:val="00F10DCF"/>
    <w:rsid w:val="00F121C2"/>
    <w:rsid w:val="00F123DE"/>
    <w:rsid w:val="00F15361"/>
    <w:rsid w:val="00F16F9A"/>
    <w:rsid w:val="00F1797B"/>
    <w:rsid w:val="00F25033"/>
    <w:rsid w:val="00F313CF"/>
    <w:rsid w:val="00F3639A"/>
    <w:rsid w:val="00F4269E"/>
    <w:rsid w:val="00F44815"/>
    <w:rsid w:val="00F4608E"/>
    <w:rsid w:val="00F52B72"/>
    <w:rsid w:val="00F53460"/>
    <w:rsid w:val="00F53BE0"/>
    <w:rsid w:val="00F54B04"/>
    <w:rsid w:val="00F55490"/>
    <w:rsid w:val="00F6328E"/>
    <w:rsid w:val="00F70534"/>
    <w:rsid w:val="00F76A3A"/>
    <w:rsid w:val="00F80431"/>
    <w:rsid w:val="00F80564"/>
    <w:rsid w:val="00F80C8C"/>
    <w:rsid w:val="00F821B6"/>
    <w:rsid w:val="00F83310"/>
    <w:rsid w:val="00F870B2"/>
    <w:rsid w:val="00F907EF"/>
    <w:rsid w:val="00F9384B"/>
    <w:rsid w:val="00F972D0"/>
    <w:rsid w:val="00FA04FD"/>
    <w:rsid w:val="00FA1A7D"/>
    <w:rsid w:val="00FA1AB0"/>
    <w:rsid w:val="00FA442C"/>
    <w:rsid w:val="00FA60D6"/>
    <w:rsid w:val="00FB13A2"/>
    <w:rsid w:val="00FB504D"/>
    <w:rsid w:val="00FB5488"/>
    <w:rsid w:val="00FB68E9"/>
    <w:rsid w:val="00FB6944"/>
    <w:rsid w:val="00FB6AA5"/>
    <w:rsid w:val="00FC0FBF"/>
    <w:rsid w:val="00FC18C9"/>
    <w:rsid w:val="00FC487F"/>
    <w:rsid w:val="00FD7A77"/>
    <w:rsid w:val="00FE2935"/>
    <w:rsid w:val="00FE563F"/>
    <w:rsid w:val="00FF1F88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FC1E0D7-D0F3-4236-8CBC-8BA30D68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1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A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BF5B29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F5B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3E7B5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7B52"/>
    <w:pPr>
      <w:spacing w:after="100"/>
    </w:pPr>
  </w:style>
  <w:style w:type="character" w:styleId="a6">
    <w:name w:val="Hyperlink"/>
    <w:basedOn w:val="a0"/>
    <w:uiPriority w:val="99"/>
    <w:unhideWhenUsed/>
    <w:rsid w:val="003E7B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B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8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F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Абзац списка1"/>
    <w:basedOn w:val="a"/>
    <w:rsid w:val="00AF2A01"/>
    <w:pPr>
      <w:spacing w:before="120"/>
      <w:ind w:left="720" w:firstLine="567"/>
      <w:contextualSpacing/>
      <w:jc w:val="both"/>
    </w:pPr>
    <w:rPr>
      <w:lang w:eastAsia="en-US"/>
    </w:rPr>
  </w:style>
  <w:style w:type="paragraph" w:styleId="aa">
    <w:name w:val="List Paragraph"/>
    <w:basedOn w:val="a"/>
    <w:uiPriority w:val="34"/>
    <w:qFormat/>
    <w:rsid w:val="007D5D82"/>
    <w:pPr>
      <w:ind w:left="720"/>
      <w:contextualSpacing/>
    </w:pPr>
  </w:style>
  <w:style w:type="paragraph" w:styleId="ab">
    <w:name w:val="header"/>
    <w:basedOn w:val="a"/>
    <w:link w:val="ac"/>
    <w:unhideWhenUsed/>
    <w:rsid w:val="00A26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26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4033C6"/>
    <w:pPr>
      <w:jc w:val="both"/>
    </w:pPr>
    <w:rPr>
      <w:bCs/>
      <w:szCs w:val="18"/>
    </w:rPr>
  </w:style>
  <w:style w:type="paragraph" w:styleId="af0">
    <w:name w:val="List Bullet"/>
    <w:basedOn w:val="af1"/>
    <w:rsid w:val="00753D58"/>
    <w:pPr>
      <w:ind w:left="714" w:hanging="357"/>
      <w:contextualSpacing w:val="0"/>
      <w:jc w:val="both"/>
    </w:pPr>
    <w:rPr>
      <w:rFonts w:ascii="TimesET" w:hAnsi="TimesET"/>
      <w:szCs w:val="20"/>
    </w:rPr>
  </w:style>
  <w:style w:type="paragraph" w:styleId="af1">
    <w:name w:val="List"/>
    <w:basedOn w:val="a"/>
    <w:uiPriority w:val="99"/>
    <w:semiHidden/>
    <w:unhideWhenUsed/>
    <w:rsid w:val="00753D58"/>
    <w:pPr>
      <w:ind w:left="283" w:hanging="283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2E59DA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2E59DA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page number"/>
    <w:basedOn w:val="a0"/>
    <w:rsid w:val="002E59DA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DE0AA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E0AA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E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E0AA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E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Emphasis"/>
    <w:basedOn w:val="a0"/>
    <w:uiPriority w:val="20"/>
    <w:qFormat/>
    <w:rsid w:val="000858EF"/>
    <w:rPr>
      <w:i/>
      <w:iCs/>
    </w:rPr>
  </w:style>
  <w:style w:type="paragraph" w:styleId="21">
    <w:name w:val="Body Text Indent 2"/>
    <w:basedOn w:val="a"/>
    <w:link w:val="22"/>
    <w:rsid w:val="008A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3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rsid w:val="0051396D"/>
    <w:pPr>
      <w:spacing w:after="120"/>
    </w:pPr>
  </w:style>
  <w:style w:type="character" w:customStyle="1" w:styleId="afc">
    <w:name w:val="Основной текст Знак"/>
    <w:basedOn w:val="a0"/>
    <w:link w:val="afb"/>
    <w:rsid w:val="0051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CB59E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Plain Text"/>
    <w:basedOn w:val="a"/>
    <w:link w:val="aff"/>
    <w:rsid w:val="00EC7021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EC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EStyleFont8">
    <w:name w:val="PEStyleFont8"/>
    <w:basedOn w:val="a0"/>
    <w:rsid w:val="00EC7021"/>
    <w:rPr>
      <w:rFonts w:ascii="Arial CYR" w:hAnsi="Arial CYR"/>
      <w:spacing w:val="0"/>
      <w:position w:val="0"/>
      <w:sz w:val="16"/>
      <w:szCs w:val="16"/>
      <w:u w:val="none"/>
    </w:rPr>
  </w:style>
  <w:style w:type="paragraph" w:customStyle="1" w:styleId="aff0">
    <w:name w:val="Знак"/>
    <w:basedOn w:val="a"/>
    <w:rsid w:val="00775A7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_____Microsoft_Excel_97-20031.xls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9DF31-6922-40C0-95DD-76359D2C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11</Pages>
  <Words>2999</Words>
  <Characters>17096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Лучникова Анна Владимировна</cp:lastModifiedBy>
  <cp:revision>243</cp:revision>
  <dcterms:created xsi:type="dcterms:W3CDTF">2011-11-23T16:22:00Z</dcterms:created>
  <dcterms:modified xsi:type="dcterms:W3CDTF">2016-02-25T13:49:00Z</dcterms:modified>
</cp:coreProperties>
</file>